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72DF" w:rsidRPr="00A0104C" w:rsidRDefault="00D072DF" w:rsidP="00D072DF">
      <w:pPr>
        <w:spacing w:after="0"/>
        <w:jc w:val="center"/>
        <w:rPr>
          <w:rFonts w:cs="Times New Roman"/>
          <w:szCs w:val="24"/>
        </w:rPr>
      </w:pPr>
      <w:r w:rsidRPr="00A0104C">
        <w:rPr>
          <w:rFonts w:cs="Times New Roman"/>
          <w:szCs w:val="24"/>
        </w:rPr>
        <w:t>Паспорт</w:t>
      </w:r>
    </w:p>
    <w:p w:rsidR="00D072DF" w:rsidRPr="00A0104C" w:rsidRDefault="00D072DF" w:rsidP="00D072DF">
      <w:pPr>
        <w:spacing w:after="0"/>
        <w:jc w:val="center"/>
        <w:rPr>
          <w:rFonts w:cs="Times New Roman"/>
          <w:szCs w:val="24"/>
        </w:rPr>
      </w:pPr>
      <w:r w:rsidRPr="00A0104C">
        <w:rPr>
          <w:rFonts w:cs="Times New Roman"/>
          <w:szCs w:val="24"/>
        </w:rPr>
        <w:t>муниципальной программы муниципального образования «Сергиево-Посадский городской округ Московской области»</w:t>
      </w:r>
    </w:p>
    <w:p w:rsidR="00D072DF" w:rsidRPr="00A0104C" w:rsidRDefault="00D072DF" w:rsidP="00D072DF">
      <w:pPr>
        <w:spacing w:after="0"/>
        <w:jc w:val="center"/>
        <w:rPr>
          <w:rFonts w:cs="Times New Roman"/>
          <w:b/>
          <w:szCs w:val="24"/>
        </w:rPr>
      </w:pPr>
      <w:r w:rsidRPr="00A0104C">
        <w:rPr>
          <w:rFonts w:cs="Times New Roman"/>
          <w:b/>
          <w:szCs w:val="24"/>
        </w:rPr>
        <w:t>«Цифровое муниципальное образование»</w:t>
      </w:r>
    </w:p>
    <w:p w:rsidR="00D072DF" w:rsidRPr="00A0104C" w:rsidRDefault="00D072DF" w:rsidP="00D072DF">
      <w:pPr>
        <w:spacing w:after="0"/>
        <w:jc w:val="center"/>
        <w:rPr>
          <w:rFonts w:cs="Times New Roman"/>
          <w:b/>
          <w:szCs w:val="24"/>
        </w:rPr>
      </w:pPr>
    </w:p>
    <w:tbl>
      <w:tblPr>
        <w:tblW w:w="14657" w:type="dxa"/>
        <w:tblInd w:w="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89"/>
        <w:gridCol w:w="2409"/>
        <w:gridCol w:w="1984"/>
        <w:gridCol w:w="1843"/>
        <w:gridCol w:w="1730"/>
        <w:gridCol w:w="1843"/>
        <w:gridCol w:w="1559"/>
      </w:tblGrid>
      <w:tr w:rsidR="00D072DF" w:rsidRPr="00A0104C" w:rsidTr="00D072DF">
        <w:trPr>
          <w:trHeight w:val="487"/>
        </w:trPr>
        <w:tc>
          <w:tcPr>
            <w:tcW w:w="3289" w:type="dxa"/>
            <w:shd w:val="clear" w:color="auto" w:fill="auto"/>
            <w:vAlign w:val="center"/>
          </w:tcPr>
          <w:p w:rsidR="00D072DF" w:rsidRPr="00A0104C" w:rsidRDefault="00D072DF" w:rsidP="006037BE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4C">
              <w:rPr>
                <w:rFonts w:ascii="Times New Roman" w:eastAsia="Calibri" w:hAnsi="Times New Roman" w:cs="Times New Roman"/>
                <w:sz w:val="24"/>
                <w:szCs w:val="24"/>
              </w:rPr>
              <w:t>Координатор (координаторы) муниципальной программы</w:t>
            </w:r>
          </w:p>
        </w:tc>
        <w:tc>
          <w:tcPr>
            <w:tcW w:w="11368" w:type="dxa"/>
            <w:gridSpan w:val="6"/>
            <w:shd w:val="clear" w:color="auto" w:fill="auto"/>
            <w:vAlign w:val="center"/>
          </w:tcPr>
          <w:p w:rsidR="00D072DF" w:rsidRPr="00A0104C" w:rsidRDefault="00D072DF" w:rsidP="006037BE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4C">
              <w:rPr>
                <w:rFonts w:ascii="Times New Roman" w:eastAsia="Calibri" w:hAnsi="Times New Roman" w:cs="Times New Roman"/>
                <w:sz w:val="24"/>
                <w:szCs w:val="24"/>
              </w:rPr>
              <w:t>Заместитель главы администрации городского округа курирующий деятельность администрации</w:t>
            </w:r>
          </w:p>
        </w:tc>
      </w:tr>
      <w:tr w:rsidR="00D072DF" w:rsidRPr="00A0104C" w:rsidTr="00D072DF">
        <w:trPr>
          <w:trHeight w:val="565"/>
        </w:trPr>
        <w:tc>
          <w:tcPr>
            <w:tcW w:w="3289" w:type="dxa"/>
            <w:shd w:val="clear" w:color="auto" w:fill="auto"/>
            <w:vAlign w:val="center"/>
          </w:tcPr>
          <w:p w:rsidR="00D072DF" w:rsidRPr="00A0104C" w:rsidRDefault="00D072DF" w:rsidP="006037BE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A0104C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Муниципальный  заказчик</w:t>
            </w:r>
            <w:proofErr w:type="gramEnd"/>
            <w:r w:rsidRPr="00A0104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программы</w:t>
            </w:r>
          </w:p>
        </w:tc>
        <w:tc>
          <w:tcPr>
            <w:tcW w:w="11368" w:type="dxa"/>
            <w:gridSpan w:val="6"/>
            <w:shd w:val="clear" w:color="auto" w:fill="auto"/>
            <w:vAlign w:val="center"/>
          </w:tcPr>
          <w:p w:rsidR="00D072DF" w:rsidRPr="00A0104C" w:rsidRDefault="00D072DF" w:rsidP="006037BE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4C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Сергиево-Посадского городского округа Московской области</w:t>
            </w:r>
          </w:p>
        </w:tc>
      </w:tr>
      <w:tr w:rsidR="00D072DF" w:rsidRPr="00A0104C" w:rsidTr="00D072DF">
        <w:trPr>
          <w:trHeight w:val="403"/>
        </w:trPr>
        <w:tc>
          <w:tcPr>
            <w:tcW w:w="3289" w:type="dxa"/>
            <w:shd w:val="clear" w:color="auto" w:fill="auto"/>
            <w:vAlign w:val="center"/>
          </w:tcPr>
          <w:p w:rsidR="00D072DF" w:rsidRPr="00A0104C" w:rsidRDefault="00D072DF" w:rsidP="006037BE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4C">
              <w:rPr>
                <w:rFonts w:ascii="Times New Roman" w:eastAsia="Calibri" w:hAnsi="Times New Roman" w:cs="Times New Roman"/>
                <w:sz w:val="24"/>
                <w:szCs w:val="24"/>
              </w:rPr>
              <w:t>Цель (цели) муниципальной программы</w:t>
            </w:r>
          </w:p>
        </w:tc>
        <w:tc>
          <w:tcPr>
            <w:tcW w:w="11368" w:type="dxa"/>
            <w:gridSpan w:val="6"/>
            <w:shd w:val="clear" w:color="auto" w:fill="auto"/>
            <w:vAlign w:val="center"/>
          </w:tcPr>
          <w:p w:rsidR="00D072DF" w:rsidRPr="00A0104C" w:rsidRDefault="00D072DF" w:rsidP="006037BE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4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Повышение эффективности государственного управления, развитие информационного общества в Сергиево-Посадском городском округе и создание достаточных условий институционального и инфраструктурного характера для создания и (или) развития цифровой экономики </w:t>
            </w:r>
          </w:p>
        </w:tc>
      </w:tr>
      <w:tr w:rsidR="00D072DF" w:rsidRPr="00A0104C" w:rsidTr="00D072DF">
        <w:trPr>
          <w:trHeight w:val="667"/>
        </w:trPr>
        <w:tc>
          <w:tcPr>
            <w:tcW w:w="3289" w:type="dxa"/>
            <w:shd w:val="clear" w:color="auto" w:fill="auto"/>
            <w:vAlign w:val="center"/>
          </w:tcPr>
          <w:p w:rsidR="00D072DF" w:rsidRPr="00A0104C" w:rsidRDefault="00D072DF" w:rsidP="006037BE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4C">
              <w:rPr>
                <w:rFonts w:ascii="Times New Roman" w:hAnsi="Times New Roman" w:cs="Times New Roman"/>
                <w:sz w:val="24"/>
                <w:szCs w:val="24"/>
              </w:rPr>
              <w:t xml:space="preserve">Сроки реализации </w:t>
            </w:r>
            <w:proofErr w:type="gramStart"/>
            <w:r w:rsidRPr="00A0104C">
              <w:rPr>
                <w:rFonts w:ascii="Times New Roman" w:hAnsi="Times New Roman" w:cs="Times New Roman"/>
                <w:sz w:val="24"/>
                <w:szCs w:val="24"/>
              </w:rPr>
              <w:t>муниципальной  программы</w:t>
            </w:r>
            <w:proofErr w:type="gramEnd"/>
          </w:p>
        </w:tc>
        <w:tc>
          <w:tcPr>
            <w:tcW w:w="11368" w:type="dxa"/>
            <w:gridSpan w:val="6"/>
            <w:shd w:val="clear" w:color="auto" w:fill="auto"/>
            <w:vAlign w:val="center"/>
          </w:tcPr>
          <w:p w:rsidR="00D072DF" w:rsidRPr="00A0104C" w:rsidRDefault="00D072DF" w:rsidP="00A32815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4C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A3281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0104C">
              <w:rPr>
                <w:rFonts w:ascii="Times New Roman" w:hAnsi="Times New Roman" w:cs="Times New Roman"/>
                <w:sz w:val="24"/>
                <w:szCs w:val="24"/>
              </w:rPr>
              <w:t xml:space="preserve"> – 202</w:t>
            </w:r>
            <w:r w:rsidR="00A3281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A0104C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D072DF" w:rsidRPr="00A0104C" w:rsidTr="00D072DF">
        <w:trPr>
          <w:trHeight w:val="667"/>
        </w:trPr>
        <w:tc>
          <w:tcPr>
            <w:tcW w:w="3289" w:type="dxa"/>
            <w:shd w:val="clear" w:color="auto" w:fill="auto"/>
            <w:vAlign w:val="center"/>
          </w:tcPr>
          <w:p w:rsidR="00D072DF" w:rsidRPr="00A0104C" w:rsidRDefault="00D072DF" w:rsidP="006037BE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4C">
              <w:rPr>
                <w:rFonts w:ascii="Times New Roman" w:eastAsia="Calibri" w:hAnsi="Times New Roman" w:cs="Times New Roman"/>
                <w:sz w:val="24"/>
                <w:szCs w:val="24"/>
              </w:rPr>
              <w:t>Перечень подпрограмм</w:t>
            </w:r>
          </w:p>
        </w:tc>
        <w:tc>
          <w:tcPr>
            <w:tcW w:w="11368" w:type="dxa"/>
            <w:gridSpan w:val="6"/>
            <w:shd w:val="clear" w:color="auto" w:fill="auto"/>
            <w:vAlign w:val="center"/>
          </w:tcPr>
          <w:p w:rsidR="00D072DF" w:rsidRPr="00A0104C" w:rsidRDefault="00D072DF" w:rsidP="006037BE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4C">
              <w:rPr>
                <w:rFonts w:ascii="Times New Roman" w:eastAsia="Calibri" w:hAnsi="Times New Roman" w:cs="Times New Roman"/>
                <w:sz w:val="24"/>
                <w:szCs w:val="24"/>
              </w:rPr>
              <w:t>Подпрограмма 1 «Снижение административных барьеров, повышение качества и доступности предоставления государственных и муниципальных услуг, в том числе на базе многофункциональных центров предоставления государственных и муниципальных услуг, а также услуг почтовой связи»</w:t>
            </w:r>
          </w:p>
          <w:p w:rsidR="00D072DF" w:rsidRPr="00A0104C" w:rsidRDefault="00D072DF" w:rsidP="006037BE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4C">
              <w:rPr>
                <w:rFonts w:ascii="Times New Roman" w:eastAsia="Calibri" w:hAnsi="Times New Roman" w:cs="Times New Roman"/>
                <w:sz w:val="24"/>
                <w:szCs w:val="24"/>
              </w:rPr>
              <w:t>Подпрограмма 2 «Развитие информационной и технологической инфраструктуры экосистемы цифровой экономики муниципального образования Московской области»</w:t>
            </w:r>
          </w:p>
        </w:tc>
      </w:tr>
      <w:tr w:rsidR="00D072DF" w:rsidRPr="00A0104C" w:rsidTr="00D072DF">
        <w:tc>
          <w:tcPr>
            <w:tcW w:w="3289" w:type="dxa"/>
            <w:vMerge w:val="restart"/>
            <w:shd w:val="clear" w:color="auto" w:fill="auto"/>
            <w:vAlign w:val="center"/>
          </w:tcPr>
          <w:p w:rsidR="00D072DF" w:rsidRPr="00A0104C" w:rsidRDefault="00D072DF" w:rsidP="006037BE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4C">
              <w:rPr>
                <w:rFonts w:ascii="Times New Roman" w:eastAsia="Calibri" w:hAnsi="Times New Roman" w:cs="Times New Roman"/>
                <w:sz w:val="24"/>
                <w:szCs w:val="24"/>
              </w:rPr>
              <w:t>Источники финансирования муниципальной программы, в том числе по годам:</w:t>
            </w:r>
          </w:p>
        </w:tc>
        <w:tc>
          <w:tcPr>
            <w:tcW w:w="11368" w:type="dxa"/>
            <w:gridSpan w:val="6"/>
            <w:shd w:val="clear" w:color="auto" w:fill="auto"/>
            <w:vAlign w:val="center"/>
          </w:tcPr>
          <w:p w:rsidR="00D072DF" w:rsidRPr="00A0104C" w:rsidRDefault="00D072DF" w:rsidP="006037BE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4C">
              <w:rPr>
                <w:rFonts w:ascii="Times New Roman" w:eastAsia="Calibri" w:hAnsi="Times New Roman" w:cs="Times New Roman"/>
                <w:sz w:val="24"/>
                <w:szCs w:val="24"/>
              </w:rPr>
              <w:t>Расходы (тыс. рублей)</w:t>
            </w:r>
          </w:p>
        </w:tc>
      </w:tr>
      <w:tr w:rsidR="00D072DF" w:rsidRPr="00A0104C" w:rsidTr="00C75388">
        <w:tc>
          <w:tcPr>
            <w:tcW w:w="3289" w:type="dxa"/>
            <w:vMerge/>
            <w:shd w:val="clear" w:color="auto" w:fill="auto"/>
            <w:vAlign w:val="center"/>
          </w:tcPr>
          <w:p w:rsidR="00D072DF" w:rsidRPr="00A0104C" w:rsidRDefault="00D072DF" w:rsidP="006037BE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D072DF" w:rsidRPr="00A0104C" w:rsidRDefault="00D072DF" w:rsidP="006037BE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4C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984" w:type="dxa"/>
            <w:shd w:val="clear" w:color="auto" w:fill="auto"/>
          </w:tcPr>
          <w:p w:rsidR="00D072DF" w:rsidRPr="00A0104C" w:rsidRDefault="00A32815" w:rsidP="006037BE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2023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D072DF" w:rsidRPr="00A0104C" w:rsidRDefault="00A32815" w:rsidP="006037BE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2024</w:t>
            </w:r>
          </w:p>
        </w:tc>
        <w:tc>
          <w:tcPr>
            <w:tcW w:w="1730" w:type="dxa"/>
            <w:tcBorders>
              <w:bottom w:val="single" w:sz="4" w:space="0" w:color="auto"/>
            </w:tcBorders>
            <w:shd w:val="clear" w:color="auto" w:fill="auto"/>
          </w:tcPr>
          <w:p w:rsidR="00D072DF" w:rsidRPr="00A0104C" w:rsidRDefault="00A32815" w:rsidP="006037BE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2025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D072DF" w:rsidRPr="00A0104C" w:rsidRDefault="00A32815" w:rsidP="006037BE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2026</w:t>
            </w:r>
          </w:p>
        </w:tc>
        <w:tc>
          <w:tcPr>
            <w:tcW w:w="1559" w:type="dxa"/>
            <w:shd w:val="clear" w:color="auto" w:fill="auto"/>
          </w:tcPr>
          <w:p w:rsidR="00D072DF" w:rsidRPr="00A0104C" w:rsidRDefault="00A32815" w:rsidP="006037BE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2027</w:t>
            </w:r>
          </w:p>
        </w:tc>
      </w:tr>
      <w:tr w:rsidR="00D072DF" w:rsidRPr="00A0104C" w:rsidTr="00C75388">
        <w:trPr>
          <w:trHeight w:val="531"/>
        </w:trPr>
        <w:tc>
          <w:tcPr>
            <w:tcW w:w="3289" w:type="dxa"/>
            <w:shd w:val="clear" w:color="auto" w:fill="auto"/>
            <w:vAlign w:val="center"/>
          </w:tcPr>
          <w:p w:rsidR="00D072DF" w:rsidRPr="00A0104C" w:rsidRDefault="00D072DF" w:rsidP="006037BE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4C">
              <w:rPr>
                <w:rFonts w:ascii="Times New Roman" w:eastAsia="Calibri" w:hAnsi="Times New Roman" w:cs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2409" w:type="dxa"/>
          </w:tcPr>
          <w:p w:rsidR="00D072DF" w:rsidRPr="00C75388" w:rsidRDefault="00C75388" w:rsidP="001E59DD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C75388">
              <w:rPr>
                <w:rFonts w:cs="Times New Roman"/>
                <w:szCs w:val="24"/>
              </w:rPr>
              <w:t>0</w:t>
            </w:r>
          </w:p>
        </w:tc>
        <w:tc>
          <w:tcPr>
            <w:tcW w:w="1984" w:type="dxa"/>
          </w:tcPr>
          <w:p w:rsidR="00D072DF" w:rsidRPr="00C75388" w:rsidRDefault="00C75388" w:rsidP="001E59DD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C75388">
              <w:rPr>
                <w:rFonts w:cs="Times New Roman"/>
                <w:szCs w:val="24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D072DF" w:rsidRPr="00C75388" w:rsidRDefault="00C75388" w:rsidP="001E59DD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C75388">
              <w:rPr>
                <w:rFonts w:cs="Times New Roman"/>
                <w:szCs w:val="24"/>
              </w:rPr>
              <w:t>0</w:t>
            </w:r>
          </w:p>
        </w:tc>
        <w:tc>
          <w:tcPr>
            <w:tcW w:w="1730" w:type="dxa"/>
            <w:shd w:val="clear" w:color="auto" w:fill="auto"/>
          </w:tcPr>
          <w:p w:rsidR="00D072DF" w:rsidRPr="00C75388" w:rsidRDefault="00C75388" w:rsidP="001E59DD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C75388">
              <w:rPr>
                <w:rFonts w:cs="Times New Roman"/>
                <w:szCs w:val="24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D072DF" w:rsidRPr="00C75388" w:rsidRDefault="00C75388" w:rsidP="001E59DD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C75388">
              <w:rPr>
                <w:rFonts w:cs="Times New Roman"/>
                <w:szCs w:val="24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D072DF" w:rsidRPr="00C75388" w:rsidRDefault="00C75388" w:rsidP="001E59DD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C75388">
              <w:rPr>
                <w:rFonts w:cs="Times New Roman"/>
                <w:szCs w:val="24"/>
              </w:rPr>
              <w:t>0</w:t>
            </w:r>
          </w:p>
        </w:tc>
      </w:tr>
      <w:tr w:rsidR="00D072DF" w:rsidRPr="00A0104C" w:rsidTr="00C75388">
        <w:trPr>
          <w:trHeight w:val="425"/>
        </w:trPr>
        <w:tc>
          <w:tcPr>
            <w:tcW w:w="3289" w:type="dxa"/>
            <w:shd w:val="clear" w:color="auto" w:fill="auto"/>
            <w:vAlign w:val="center"/>
          </w:tcPr>
          <w:p w:rsidR="00D072DF" w:rsidRPr="00A0104C" w:rsidRDefault="00D072DF" w:rsidP="006037BE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4C">
              <w:rPr>
                <w:rFonts w:ascii="Times New Roman" w:eastAsia="Calibri" w:hAnsi="Times New Roman" w:cs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2409" w:type="dxa"/>
            <w:shd w:val="clear" w:color="auto" w:fill="auto"/>
          </w:tcPr>
          <w:p w:rsidR="00D072DF" w:rsidRPr="00BD36D9" w:rsidRDefault="001E59DD" w:rsidP="001E59DD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12 088,00</w:t>
            </w:r>
          </w:p>
        </w:tc>
        <w:tc>
          <w:tcPr>
            <w:tcW w:w="1984" w:type="dxa"/>
          </w:tcPr>
          <w:p w:rsidR="00D072DF" w:rsidRPr="00BD36D9" w:rsidRDefault="00C75388" w:rsidP="001E59DD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BD36D9">
              <w:rPr>
                <w:rFonts w:cs="Times New Roman"/>
                <w:szCs w:val="24"/>
              </w:rPr>
              <w:t>594,00</w:t>
            </w:r>
          </w:p>
        </w:tc>
        <w:tc>
          <w:tcPr>
            <w:tcW w:w="1843" w:type="dxa"/>
            <w:shd w:val="clear" w:color="auto" w:fill="auto"/>
          </w:tcPr>
          <w:p w:rsidR="00D072DF" w:rsidRPr="00BD36D9" w:rsidRDefault="00C75388" w:rsidP="001E59DD">
            <w:pPr>
              <w:jc w:val="center"/>
              <w:rPr>
                <w:rFonts w:cs="Times New Roman"/>
                <w:szCs w:val="24"/>
              </w:rPr>
            </w:pPr>
            <w:r w:rsidRPr="00BD36D9">
              <w:rPr>
                <w:rFonts w:cs="Times New Roman"/>
                <w:szCs w:val="24"/>
              </w:rPr>
              <w:t>898,00</w:t>
            </w:r>
          </w:p>
        </w:tc>
        <w:tc>
          <w:tcPr>
            <w:tcW w:w="1730" w:type="dxa"/>
            <w:shd w:val="clear" w:color="auto" w:fill="auto"/>
          </w:tcPr>
          <w:p w:rsidR="00D072DF" w:rsidRPr="00BD36D9" w:rsidRDefault="00C75388" w:rsidP="001E59DD">
            <w:pPr>
              <w:jc w:val="center"/>
              <w:rPr>
                <w:rFonts w:cs="Times New Roman"/>
                <w:szCs w:val="24"/>
              </w:rPr>
            </w:pPr>
            <w:r w:rsidRPr="00BD36D9">
              <w:rPr>
                <w:rFonts w:cs="Times New Roman"/>
                <w:szCs w:val="24"/>
              </w:rPr>
              <w:t>3</w:t>
            </w:r>
            <w:r w:rsidR="00F119B7" w:rsidRPr="00BD36D9">
              <w:rPr>
                <w:rFonts w:cs="Times New Roman"/>
                <w:szCs w:val="24"/>
              </w:rPr>
              <w:t xml:space="preserve"> </w:t>
            </w:r>
            <w:r w:rsidRPr="00BD36D9">
              <w:rPr>
                <w:rFonts w:cs="Times New Roman"/>
                <w:szCs w:val="24"/>
              </w:rPr>
              <w:t>532,00</w:t>
            </w:r>
          </w:p>
        </w:tc>
        <w:tc>
          <w:tcPr>
            <w:tcW w:w="1843" w:type="dxa"/>
            <w:shd w:val="clear" w:color="auto" w:fill="auto"/>
          </w:tcPr>
          <w:p w:rsidR="00D072DF" w:rsidRPr="00BD36D9" w:rsidRDefault="00C75388" w:rsidP="001E59DD">
            <w:pPr>
              <w:jc w:val="center"/>
              <w:rPr>
                <w:rFonts w:cs="Times New Roman"/>
                <w:szCs w:val="24"/>
              </w:rPr>
            </w:pPr>
            <w:r w:rsidRPr="00BD36D9">
              <w:rPr>
                <w:rFonts w:cs="Times New Roman"/>
                <w:szCs w:val="24"/>
              </w:rPr>
              <w:t>3</w:t>
            </w:r>
            <w:r w:rsidR="00F119B7" w:rsidRPr="00BD36D9">
              <w:rPr>
                <w:rFonts w:cs="Times New Roman"/>
                <w:szCs w:val="24"/>
              </w:rPr>
              <w:t xml:space="preserve"> </w:t>
            </w:r>
            <w:r w:rsidRPr="00BD36D9">
              <w:rPr>
                <w:rFonts w:cs="Times New Roman"/>
                <w:szCs w:val="24"/>
              </w:rPr>
              <w:t>532,00</w:t>
            </w:r>
          </w:p>
        </w:tc>
        <w:tc>
          <w:tcPr>
            <w:tcW w:w="1559" w:type="dxa"/>
          </w:tcPr>
          <w:p w:rsidR="00D072DF" w:rsidRPr="00BD36D9" w:rsidRDefault="00C75388" w:rsidP="001E59DD">
            <w:pPr>
              <w:jc w:val="center"/>
              <w:rPr>
                <w:rFonts w:cs="Times New Roman"/>
                <w:szCs w:val="24"/>
              </w:rPr>
            </w:pPr>
            <w:r w:rsidRPr="00BD36D9">
              <w:rPr>
                <w:rFonts w:cs="Times New Roman"/>
                <w:szCs w:val="24"/>
              </w:rPr>
              <w:t>3</w:t>
            </w:r>
            <w:r w:rsidR="00F119B7" w:rsidRPr="00BD36D9">
              <w:rPr>
                <w:rFonts w:cs="Times New Roman"/>
                <w:szCs w:val="24"/>
              </w:rPr>
              <w:t xml:space="preserve"> </w:t>
            </w:r>
            <w:r w:rsidRPr="00BD36D9">
              <w:rPr>
                <w:rFonts w:cs="Times New Roman"/>
                <w:szCs w:val="24"/>
              </w:rPr>
              <w:t>532,00</w:t>
            </w:r>
          </w:p>
        </w:tc>
      </w:tr>
      <w:tr w:rsidR="001E59DD" w:rsidRPr="00A0104C" w:rsidTr="00C75388">
        <w:trPr>
          <w:trHeight w:val="417"/>
        </w:trPr>
        <w:tc>
          <w:tcPr>
            <w:tcW w:w="3289" w:type="dxa"/>
            <w:shd w:val="clear" w:color="auto" w:fill="auto"/>
            <w:vAlign w:val="center"/>
          </w:tcPr>
          <w:p w:rsidR="001E59DD" w:rsidRPr="00A0104C" w:rsidRDefault="001E59DD" w:rsidP="001E59DD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4C">
              <w:rPr>
                <w:rFonts w:ascii="Times New Roman" w:eastAsia="Calibri" w:hAnsi="Times New Roman" w:cs="Times New Roman"/>
                <w:sz w:val="24"/>
                <w:szCs w:val="24"/>
              </w:rPr>
              <w:t>Средства бюджета Сергиево-Посадского городского округа</w:t>
            </w:r>
          </w:p>
        </w:tc>
        <w:tc>
          <w:tcPr>
            <w:tcW w:w="2409" w:type="dxa"/>
            <w:shd w:val="clear" w:color="auto" w:fill="auto"/>
          </w:tcPr>
          <w:p w:rsidR="001E59DD" w:rsidRPr="00BD36D9" w:rsidRDefault="001E59DD" w:rsidP="001E59DD">
            <w:pPr>
              <w:tabs>
                <w:tab w:val="left" w:pos="585"/>
                <w:tab w:val="center" w:pos="1096"/>
                <w:tab w:val="right" w:pos="2193"/>
              </w:tabs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763 202,80</w:t>
            </w:r>
          </w:p>
        </w:tc>
        <w:tc>
          <w:tcPr>
            <w:tcW w:w="1984" w:type="dxa"/>
          </w:tcPr>
          <w:p w:rsidR="001E59DD" w:rsidRPr="00BD36D9" w:rsidRDefault="001E59DD" w:rsidP="001E59DD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159 723,20</w:t>
            </w:r>
          </w:p>
        </w:tc>
        <w:tc>
          <w:tcPr>
            <w:tcW w:w="1843" w:type="dxa"/>
          </w:tcPr>
          <w:p w:rsidR="001E59DD" w:rsidRPr="00BD36D9" w:rsidRDefault="001E59DD" w:rsidP="001E59DD">
            <w:pPr>
              <w:tabs>
                <w:tab w:val="left" w:pos="541"/>
              </w:tabs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151 730,00</w:t>
            </w:r>
          </w:p>
        </w:tc>
        <w:tc>
          <w:tcPr>
            <w:tcW w:w="1730" w:type="dxa"/>
          </w:tcPr>
          <w:p w:rsidR="001E59DD" w:rsidRPr="00BD36D9" w:rsidRDefault="001E59DD" w:rsidP="001E59DD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150 583,20</w:t>
            </w:r>
          </w:p>
        </w:tc>
        <w:tc>
          <w:tcPr>
            <w:tcW w:w="1843" w:type="dxa"/>
          </w:tcPr>
          <w:p w:rsidR="001E59DD" w:rsidRDefault="001E59DD" w:rsidP="001E59DD">
            <w:pPr>
              <w:jc w:val="center"/>
            </w:pPr>
            <w:r w:rsidRPr="00C31F1B">
              <w:t>150 583,20</w:t>
            </w:r>
          </w:p>
        </w:tc>
        <w:tc>
          <w:tcPr>
            <w:tcW w:w="1559" w:type="dxa"/>
          </w:tcPr>
          <w:p w:rsidR="001E59DD" w:rsidRDefault="001E59DD" w:rsidP="001E59DD">
            <w:pPr>
              <w:jc w:val="center"/>
            </w:pPr>
            <w:r w:rsidRPr="00C31F1B">
              <w:t>150 583,20</w:t>
            </w:r>
          </w:p>
        </w:tc>
      </w:tr>
      <w:tr w:rsidR="00D072DF" w:rsidRPr="00A0104C" w:rsidTr="00C75388">
        <w:trPr>
          <w:trHeight w:val="423"/>
        </w:trPr>
        <w:tc>
          <w:tcPr>
            <w:tcW w:w="3289" w:type="dxa"/>
            <w:shd w:val="clear" w:color="auto" w:fill="auto"/>
            <w:vAlign w:val="center"/>
          </w:tcPr>
          <w:p w:rsidR="00D072DF" w:rsidRPr="00A0104C" w:rsidRDefault="00D072DF" w:rsidP="006037BE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4C">
              <w:rPr>
                <w:rFonts w:ascii="Times New Roman" w:eastAsia="Calibri" w:hAnsi="Times New Roman" w:cs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2409" w:type="dxa"/>
            <w:shd w:val="clear" w:color="auto" w:fill="auto"/>
          </w:tcPr>
          <w:p w:rsidR="00D072DF" w:rsidRPr="00BD36D9" w:rsidRDefault="001E59DD" w:rsidP="001E59DD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D072DF" w:rsidRPr="00BD36D9" w:rsidRDefault="00901BDD" w:rsidP="001E59DD">
            <w:pPr>
              <w:jc w:val="center"/>
              <w:rPr>
                <w:rFonts w:cs="Times New Roman"/>
                <w:szCs w:val="24"/>
              </w:rPr>
            </w:pPr>
            <w:r w:rsidRPr="00BD36D9">
              <w:rPr>
                <w:rFonts w:cs="Times New Roman"/>
                <w:szCs w:val="24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D072DF" w:rsidRPr="00BD36D9" w:rsidRDefault="00901BDD" w:rsidP="001E59DD">
            <w:pPr>
              <w:jc w:val="center"/>
              <w:rPr>
                <w:rFonts w:cs="Times New Roman"/>
                <w:szCs w:val="24"/>
              </w:rPr>
            </w:pPr>
            <w:r w:rsidRPr="00BD36D9">
              <w:rPr>
                <w:rFonts w:cs="Times New Roman"/>
                <w:szCs w:val="24"/>
              </w:rPr>
              <w:t>0</w:t>
            </w:r>
          </w:p>
        </w:tc>
        <w:tc>
          <w:tcPr>
            <w:tcW w:w="1730" w:type="dxa"/>
            <w:shd w:val="clear" w:color="auto" w:fill="auto"/>
          </w:tcPr>
          <w:p w:rsidR="00D072DF" w:rsidRPr="00BD36D9" w:rsidRDefault="00901BDD" w:rsidP="001E59DD">
            <w:pPr>
              <w:jc w:val="center"/>
              <w:rPr>
                <w:rFonts w:cs="Times New Roman"/>
                <w:szCs w:val="24"/>
              </w:rPr>
            </w:pPr>
            <w:r w:rsidRPr="00BD36D9">
              <w:rPr>
                <w:rFonts w:cs="Times New Roman"/>
                <w:szCs w:val="24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D072DF" w:rsidRPr="00BD36D9" w:rsidRDefault="00901BDD" w:rsidP="001E59DD">
            <w:pPr>
              <w:jc w:val="center"/>
              <w:rPr>
                <w:rFonts w:cs="Times New Roman"/>
                <w:szCs w:val="24"/>
              </w:rPr>
            </w:pPr>
            <w:r w:rsidRPr="00BD36D9">
              <w:rPr>
                <w:rFonts w:cs="Times New Roman"/>
                <w:szCs w:val="24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D072DF" w:rsidRPr="00BD36D9" w:rsidRDefault="00901BDD" w:rsidP="001E59DD">
            <w:pPr>
              <w:jc w:val="center"/>
              <w:rPr>
                <w:rFonts w:cs="Times New Roman"/>
                <w:szCs w:val="24"/>
              </w:rPr>
            </w:pPr>
            <w:r w:rsidRPr="00BD36D9">
              <w:rPr>
                <w:rFonts w:cs="Times New Roman"/>
                <w:szCs w:val="24"/>
              </w:rPr>
              <w:t>0</w:t>
            </w:r>
          </w:p>
        </w:tc>
      </w:tr>
      <w:tr w:rsidR="00D072DF" w:rsidRPr="00A0104C" w:rsidTr="00C75388">
        <w:trPr>
          <w:trHeight w:val="543"/>
        </w:trPr>
        <w:tc>
          <w:tcPr>
            <w:tcW w:w="3289" w:type="dxa"/>
            <w:shd w:val="clear" w:color="auto" w:fill="auto"/>
            <w:vAlign w:val="center"/>
          </w:tcPr>
          <w:p w:rsidR="00D072DF" w:rsidRPr="00A0104C" w:rsidRDefault="00D072DF" w:rsidP="006037BE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4C">
              <w:rPr>
                <w:rFonts w:ascii="Times New Roman" w:eastAsia="Calibri" w:hAnsi="Times New Roman" w:cs="Times New Roman"/>
                <w:sz w:val="24"/>
                <w:szCs w:val="24"/>
              </w:rPr>
              <w:t>Всего, в том числе по годам:</w:t>
            </w:r>
          </w:p>
        </w:tc>
        <w:tc>
          <w:tcPr>
            <w:tcW w:w="2409" w:type="dxa"/>
          </w:tcPr>
          <w:p w:rsidR="00D072DF" w:rsidRPr="00BD36D9" w:rsidRDefault="001E59DD" w:rsidP="001E59DD">
            <w:pPr>
              <w:spacing w:after="0" w:line="240" w:lineRule="auto"/>
              <w:jc w:val="center"/>
              <w:rPr>
                <w:rFonts w:cs="Times New Roman"/>
                <w:bCs/>
                <w:szCs w:val="24"/>
              </w:rPr>
            </w:pPr>
            <w:r>
              <w:rPr>
                <w:rFonts w:cs="Times New Roman"/>
                <w:bCs/>
                <w:szCs w:val="24"/>
              </w:rPr>
              <w:t>775 290,80</w:t>
            </w:r>
          </w:p>
        </w:tc>
        <w:tc>
          <w:tcPr>
            <w:tcW w:w="1984" w:type="dxa"/>
          </w:tcPr>
          <w:p w:rsidR="00D072DF" w:rsidRPr="00BD36D9" w:rsidRDefault="00BD36D9" w:rsidP="001E59DD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BD36D9">
              <w:rPr>
                <w:rFonts w:cs="Times New Roman"/>
                <w:szCs w:val="24"/>
              </w:rPr>
              <w:t>160 317,20</w:t>
            </w:r>
            <w:bookmarkStart w:id="0" w:name="_GoBack"/>
            <w:bookmarkEnd w:id="0"/>
          </w:p>
        </w:tc>
        <w:tc>
          <w:tcPr>
            <w:tcW w:w="1843" w:type="dxa"/>
          </w:tcPr>
          <w:p w:rsidR="00D072DF" w:rsidRPr="00BD36D9" w:rsidRDefault="00BD36D9" w:rsidP="001E59DD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152 628,00</w:t>
            </w:r>
          </w:p>
        </w:tc>
        <w:tc>
          <w:tcPr>
            <w:tcW w:w="1730" w:type="dxa"/>
          </w:tcPr>
          <w:p w:rsidR="00D072DF" w:rsidRPr="00BD36D9" w:rsidRDefault="00BD36D9" w:rsidP="001E59DD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154 115,20</w:t>
            </w:r>
          </w:p>
        </w:tc>
        <w:tc>
          <w:tcPr>
            <w:tcW w:w="1843" w:type="dxa"/>
          </w:tcPr>
          <w:p w:rsidR="00D072DF" w:rsidRPr="00BD36D9" w:rsidRDefault="00BD36D9" w:rsidP="001E59DD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154 115,20</w:t>
            </w:r>
          </w:p>
        </w:tc>
        <w:tc>
          <w:tcPr>
            <w:tcW w:w="1559" w:type="dxa"/>
          </w:tcPr>
          <w:p w:rsidR="00D072DF" w:rsidRPr="00BD36D9" w:rsidRDefault="00BD36D9" w:rsidP="001E59DD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154 115,20</w:t>
            </w:r>
          </w:p>
        </w:tc>
      </w:tr>
      <w:tr w:rsidR="00D072DF" w:rsidRPr="00A0104C" w:rsidTr="00D072DF">
        <w:trPr>
          <w:trHeight w:val="543"/>
        </w:trPr>
        <w:tc>
          <w:tcPr>
            <w:tcW w:w="3289" w:type="dxa"/>
            <w:shd w:val="clear" w:color="auto" w:fill="auto"/>
            <w:vAlign w:val="center"/>
          </w:tcPr>
          <w:p w:rsidR="00D072DF" w:rsidRPr="00A0104C" w:rsidRDefault="00D072DF" w:rsidP="006037BE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4C">
              <w:rPr>
                <w:rFonts w:ascii="Times New Roman" w:hAnsi="Times New Roman" w:cs="Times New Roman"/>
                <w:sz w:val="24"/>
                <w:szCs w:val="24"/>
              </w:rPr>
              <w:t>Планируемые результаты реализации муниципальной программы</w:t>
            </w:r>
          </w:p>
        </w:tc>
        <w:tc>
          <w:tcPr>
            <w:tcW w:w="11368" w:type="dxa"/>
            <w:gridSpan w:val="6"/>
            <w:shd w:val="clear" w:color="auto" w:fill="auto"/>
            <w:vAlign w:val="center"/>
          </w:tcPr>
          <w:p w:rsidR="00D072DF" w:rsidRPr="00A0104C" w:rsidRDefault="00D072DF" w:rsidP="006037BE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4C">
              <w:rPr>
                <w:rFonts w:ascii="Times New Roman" w:eastAsia="Calibri" w:hAnsi="Times New Roman" w:cs="Times New Roman"/>
                <w:sz w:val="24"/>
                <w:szCs w:val="24"/>
              </w:rPr>
              <w:t>1. Доля граждан, имеющих доступ к получению государственных и муниципальных услуг по принципу "одного окна" по месту пребывания, в том числе в МФЦ - не менее 100 процентов.</w:t>
            </w:r>
          </w:p>
          <w:p w:rsidR="00D072DF" w:rsidRPr="00A0104C" w:rsidRDefault="00D072DF" w:rsidP="006037BE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4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 Уровень удовлетворенности граждан качеством предоставления государственных и муниципальных услуг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 96 процентов</w:t>
            </w:r>
            <w:r w:rsidRPr="00A0104C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D072DF" w:rsidRPr="00A0104C" w:rsidRDefault="00D072DF" w:rsidP="006037BE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4C">
              <w:rPr>
                <w:rFonts w:ascii="Times New Roman" w:eastAsia="Calibri" w:hAnsi="Times New Roman" w:cs="Times New Roman"/>
                <w:sz w:val="24"/>
                <w:szCs w:val="24"/>
              </w:rPr>
              <w:t>3. Среднее время ожидания в очереди для получения государственных (муниципальных) услуг – до 2 минут.</w:t>
            </w:r>
          </w:p>
          <w:p w:rsidR="00D072DF" w:rsidRPr="00A0104C" w:rsidRDefault="00D072DF" w:rsidP="006037BE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4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4. Доля заявителей МФЦ, ожидающих в очереди более 11 минут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 0%</w:t>
            </w:r>
            <w:r w:rsidRPr="00A0104C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D072DF" w:rsidRPr="00A0104C" w:rsidRDefault="00D072DF" w:rsidP="006037BE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4C">
              <w:rPr>
                <w:rFonts w:ascii="Times New Roman" w:eastAsia="Calibri" w:hAnsi="Times New Roman" w:cs="Times New Roman"/>
                <w:sz w:val="24"/>
                <w:szCs w:val="24"/>
              </w:rPr>
              <w:t>5. Выполнение требований комфортности и доступности МФЦ – не менее 100 %.</w:t>
            </w:r>
          </w:p>
          <w:p w:rsidR="00D072DF" w:rsidRPr="00A0104C" w:rsidRDefault="00D072DF" w:rsidP="006037BE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4C">
              <w:rPr>
                <w:rFonts w:ascii="Times New Roman" w:eastAsia="Calibri" w:hAnsi="Times New Roman" w:cs="Times New Roman"/>
                <w:sz w:val="24"/>
                <w:szCs w:val="24"/>
              </w:rPr>
              <w:t>6. Доля рабочих мест, обеспеченных необходимым компьютерным оборудованием и услугами связи в соответствии с требованиями нормативных правовых актов Московской области – до 100%.</w:t>
            </w:r>
          </w:p>
          <w:p w:rsidR="00D072DF" w:rsidRPr="00A0104C" w:rsidRDefault="00D072DF" w:rsidP="006037BE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4C">
              <w:rPr>
                <w:rFonts w:ascii="Times New Roman" w:eastAsia="Calibri" w:hAnsi="Times New Roman" w:cs="Times New Roman"/>
                <w:sz w:val="24"/>
                <w:szCs w:val="24"/>
              </w:rPr>
              <w:t>7. Стоимостная доля закупаемого и (или) арендуемого ОМСУ муниципального образования Московской области отечественного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программного обеспечения – 75%</w:t>
            </w:r>
            <w:r w:rsidRPr="00A0104C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D072DF" w:rsidRPr="00A0104C" w:rsidRDefault="00D072DF" w:rsidP="006037BE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4C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  <w:r w:rsidRPr="00A010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0104C">
              <w:rPr>
                <w:rFonts w:ascii="Times New Roman" w:eastAsia="Calibri" w:hAnsi="Times New Roman" w:cs="Times New Roman"/>
                <w:sz w:val="24"/>
                <w:szCs w:val="24"/>
              </w:rPr>
              <w:t>Увеличение доли защищенных по требованиям безопасности информации информационных систем, используемых ОМСУ муниципального образования Московской области, в соответствии с категорией обрабатываемой информации, а также персональных компьютеров, используемых на рабочих местах работников, обеспеченных антивирусным программным обеспечением с регулярным обновлением соответствующих баз – до 100%.</w:t>
            </w:r>
          </w:p>
          <w:p w:rsidR="00D072DF" w:rsidRPr="00A0104C" w:rsidRDefault="00D072DF" w:rsidP="006037BE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4C">
              <w:rPr>
                <w:rFonts w:ascii="Times New Roman" w:eastAsia="Calibri" w:hAnsi="Times New Roman" w:cs="Times New Roman"/>
                <w:sz w:val="24"/>
                <w:szCs w:val="24"/>
              </w:rPr>
              <w:t>9. Доля работников ОМСУ муниципального образования Московской области, обеспеченных средствами электронной подписи в соответствии с установленными требованиями – до 100%.</w:t>
            </w:r>
          </w:p>
          <w:p w:rsidR="00D072DF" w:rsidRPr="00A0104C" w:rsidRDefault="00D072DF" w:rsidP="006037BE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4C">
              <w:rPr>
                <w:rFonts w:ascii="Times New Roman" w:eastAsia="Calibri" w:hAnsi="Times New Roman" w:cs="Times New Roman"/>
                <w:sz w:val="24"/>
                <w:szCs w:val="24"/>
              </w:rPr>
              <w:t>10. Доля документов служебной переписки ОМСУ муниципального образования Московской области и их подведомственных учреждений с ЦИОГВ и ГО Московской области, подведомственными ЦИОГВ и ГО Московской области организациями и учреждениями, не содержащих персональные данные и конфиденциальные сведения и направляемых исключительно в электронном виде с использованием МСЭД и средств электронной подписи – до 100%.</w:t>
            </w:r>
          </w:p>
          <w:p w:rsidR="00D072DF" w:rsidRPr="00A0104C" w:rsidRDefault="00D072DF" w:rsidP="006037BE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4C">
              <w:rPr>
                <w:rFonts w:ascii="Times New Roman" w:eastAsia="Calibri" w:hAnsi="Times New Roman" w:cs="Times New Roman"/>
                <w:sz w:val="24"/>
                <w:szCs w:val="24"/>
              </w:rPr>
              <w:t>11. Увеличение доли граждан, использующих механизм получения государственных и муниципальных услуг в электронной форме – до 85% к 2024 году.</w:t>
            </w:r>
          </w:p>
          <w:p w:rsidR="00D072DF" w:rsidRPr="00A0104C" w:rsidRDefault="00D072DF" w:rsidP="006037BE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4C">
              <w:rPr>
                <w:rFonts w:ascii="Times New Roman" w:eastAsia="Calibri" w:hAnsi="Times New Roman" w:cs="Times New Roman"/>
                <w:sz w:val="24"/>
                <w:szCs w:val="24"/>
              </w:rPr>
              <w:t>12. Процент проникновения ЕСИА в муниципальном образовании Московской области – до 80%.</w:t>
            </w:r>
          </w:p>
          <w:p w:rsidR="00D072DF" w:rsidRPr="00A0104C" w:rsidRDefault="00D072DF" w:rsidP="006037BE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4C">
              <w:rPr>
                <w:rFonts w:ascii="Times New Roman" w:eastAsia="Calibri" w:hAnsi="Times New Roman" w:cs="Times New Roman"/>
                <w:sz w:val="24"/>
                <w:szCs w:val="24"/>
              </w:rPr>
              <w:t>13. Качественные услуги – Доля муниципальных (государственных) услуг, по которым нарушены регламентные сроки – не более 2%.</w:t>
            </w:r>
          </w:p>
          <w:p w:rsidR="00D072DF" w:rsidRPr="00A0104C" w:rsidRDefault="00D072DF" w:rsidP="006037BE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4C">
              <w:rPr>
                <w:rFonts w:ascii="Times New Roman" w:eastAsia="Calibri" w:hAnsi="Times New Roman" w:cs="Times New Roman"/>
                <w:sz w:val="24"/>
                <w:szCs w:val="24"/>
              </w:rPr>
              <w:t>14. Удобные услуги – Доля муниципальных (государственных) услуг, по которым заявления поданы в электронном виде через региональный портал государственных и муниципальных услуг – до 90%.</w:t>
            </w:r>
          </w:p>
          <w:p w:rsidR="00D072DF" w:rsidRPr="00A0104C" w:rsidRDefault="00D072DF" w:rsidP="006037BE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4C">
              <w:rPr>
                <w:rFonts w:ascii="Times New Roman" w:eastAsia="Calibri" w:hAnsi="Times New Roman" w:cs="Times New Roman"/>
                <w:sz w:val="24"/>
                <w:szCs w:val="24"/>
              </w:rPr>
              <w:t>15. Повторные обращения – Доля обращений, поступивших на портал «</w:t>
            </w:r>
            <w:proofErr w:type="spellStart"/>
            <w:r w:rsidRPr="00A0104C">
              <w:rPr>
                <w:rFonts w:ascii="Times New Roman" w:eastAsia="Calibri" w:hAnsi="Times New Roman" w:cs="Times New Roman"/>
                <w:sz w:val="24"/>
                <w:szCs w:val="24"/>
              </w:rPr>
              <w:t>Добродел</w:t>
            </w:r>
            <w:proofErr w:type="spellEnd"/>
            <w:r w:rsidRPr="00A0104C">
              <w:rPr>
                <w:rFonts w:ascii="Times New Roman" w:eastAsia="Calibri" w:hAnsi="Times New Roman" w:cs="Times New Roman"/>
                <w:sz w:val="24"/>
                <w:szCs w:val="24"/>
              </w:rPr>
              <w:t>», по которым поступили повторные обращения – не более 30%.</w:t>
            </w:r>
          </w:p>
          <w:p w:rsidR="00D072DF" w:rsidRPr="00A0104C" w:rsidRDefault="00D072DF" w:rsidP="006037BE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4C">
              <w:rPr>
                <w:rFonts w:ascii="Times New Roman" w:eastAsia="Calibri" w:hAnsi="Times New Roman" w:cs="Times New Roman"/>
                <w:sz w:val="24"/>
                <w:szCs w:val="24"/>
              </w:rPr>
              <w:t>16. Отложенные решения – Доля отложенных решений от числа ответов, предоставленных на портале «</w:t>
            </w:r>
            <w:proofErr w:type="spellStart"/>
            <w:r w:rsidRPr="00A0104C">
              <w:rPr>
                <w:rFonts w:ascii="Times New Roman" w:eastAsia="Calibri" w:hAnsi="Times New Roman" w:cs="Times New Roman"/>
                <w:sz w:val="24"/>
                <w:szCs w:val="24"/>
              </w:rPr>
              <w:t>Добродел</w:t>
            </w:r>
            <w:proofErr w:type="spellEnd"/>
            <w:r w:rsidRPr="00A0104C">
              <w:rPr>
                <w:rFonts w:ascii="Times New Roman" w:eastAsia="Calibri" w:hAnsi="Times New Roman" w:cs="Times New Roman"/>
                <w:sz w:val="24"/>
                <w:szCs w:val="24"/>
              </w:rPr>
              <w:t>» (два и более раз) – не более 30%.</w:t>
            </w:r>
          </w:p>
          <w:p w:rsidR="00D072DF" w:rsidRPr="00A0104C" w:rsidRDefault="00D072DF" w:rsidP="006037BE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4C">
              <w:rPr>
                <w:rFonts w:ascii="Times New Roman" w:eastAsia="Calibri" w:hAnsi="Times New Roman" w:cs="Times New Roman"/>
                <w:sz w:val="24"/>
                <w:szCs w:val="24"/>
              </w:rPr>
              <w:t>17. Ответь вовремя – Доля жалоб, поступивших на портал «</w:t>
            </w:r>
            <w:proofErr w:type="spellStart"/>
            <w:r w:rsidRPr="00A0104C">
              <w:rPr>
                <w:rFonts w:ascii="Times New Roman" w:eastAsia="Calibri" w:hAnsi="Times New Roman" w:cs="Times New Roman"/>
                <w:sz w:val="24"/>
                <w:szCs w:val="24"/>
              </w:rPr>
              <w:t>Добродел</w:t>
            </w:r>
            <w:proofErr w:type="spellEnd"/>
            <w:r w:rsidRPr="00A0104C">
              <w:rPr>
                <w:rFonts w:ascii="Times New Roman" w:eastAsia="Calibri" w:hAnsi="Times New Roman" w:cs="Times New Roman"/>
                <w:sz w:val="24"/>
                <w:szCs w:val="24"/>
              </w:rPr>
              <w:t>», по которым нарушен срок подготовки ответа – не более 5%.</w:t>
            </w:r>
          </w:p>
          <w:p w:rsidR="00D072DF" w:rsidRPr="00A0104C" w:rsidRDefault="00D072DF" w:rsidP="006037BE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4C">
              <w:rPr>
                <w:rFonts w:ascii="Times New Roman" w:eastAsia="Calibri" w:hAnsi="Times New Roman" w:cs="Times New Roman"/>
                <w:sz w:val="24"/>
                <w:szCs w:val="24"/>
              </w:rPr>
              <w:t>18. Доля ОМСУ муниципального образования Московской области и их подведомственных учреждений, использующих региональные межведомственные информационные системы поддержки обеспечивающих функций и контроля результативности деятельности – до 100%.</w:t>
            </w:r>
          </w:p>
          <w:p w:rsidR="00D072DF" w:rsidRPr="00A0104C" w:rsidRDefault="00D072DF" w:rsidP="006037BE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4C">
              <w:rPr>
                <w:rFonts w:ascii="Times New Roman" w:eastAsia="Calibri" w:hAnsi="Times New Roman" w:cs="Times New Roman"/>
                <w:sz w:val="24"/>
                <w:szCs w:val="24"/>
              </w:rPr>
              <w:t>19. Доля используемых в деятельности ОМСУ муниципального образования Московской области информационно-аналитических сервисов ЕИАС ЖКХ МО – до 100%.</w:t>
            </w:r>
          </w:p>
          <w:p w:rsidR="00D072DF" w:rsidRPr="00A0104C" w:rsidRDefault="00D072DF" w:rsidP="006037BE">
            <w:pPr>
              <w:autoSpaceDE w:val="0"/>
              <w:autoSpaceDN w:val="0"/>
              <w:adjustRightInd w:val="0"/>
              <w:spacing w:after="0"/>
              <w:jc w:val="both"/>
              <w:rPr>
                <w:rFonts w:cs="Times New Roman"/>
                <w:szCs w:val="24"/>
              </w:rPr>
            </w:pPr>
            <w:r w:rsidRPr="00A0104C">
              <w:rPr>
                <w:rFonts w:eastAsia="Calibri" w:cs="Times New Roman"/>
                <w:szCs w:val="24"/>
              </w:rPr>
              <w:t xml:space="preserve">20. </w:t>
            </w:r>
            <w:r w:rsidRPr="00A0104C">
              <w:rPr>
                <w:rFonts w:cs="Times New Roman"/>
                <w:szCs w:val="24"/>
              </w:rPr>
              <w:t>Доля муниципальных общеобразовательных организаций в муниципальном образовании Московской области, подключенных к сети Интернет на скорости: для общеобразовательных организаций, расположенных в городских населенных пунктах не менее 100 Мбит/с;</w:t>
            </w:r>
          </w:p>
          <w:p w:rsidR="00D072DF" w:rsidRPr="00A0104C" w:rsidRDefault="00D072DF" w:rsidP="006037B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04C">
              <w:rPr>
                <w:rFonts w:ascii="Times New Roman" w:hAnsi="Times New Roman" w:cs="Times New Roman"/>
                <w:sz w:val="24"/>
                <w:szCs w:val="24"/>
              </w:rPr>
              <w:t>для общеобразовательных организаций, расположенных в сельских населенных пунктах, – не менее 50 Мбит/с</w:t>
            </w:r>
          </w:p>
          <w:p w:rsidR="00D072DF" w:rsidRPr="00BD36D9" w:rsidRDefault="00D072DF" w:rsidP="006037BE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4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21. </w:t>
            </w:r>
            <w:r w:rsidRPr="00BD36D9">
              <w:rPr>
                <w:rFonts w:ascii="Times New Roman" w:eastAsia="Calibri" w:hAnsi="Times New Roman" w:cs="Times New Roman"/>
                <w:sz w:val="24"/>
                <w:szCs w:val="24"/>
              </w:rPr>
              <w:t>Доля образовательных организаций, у которых есть широкополосный доступ к сети Интернет (не менее 100 Мбит/с для образовательных организаций, расположенных в городах, и не менее 50 Мбит/с для образовательных организаций, расположенных в сельских населенных пунктах и поселках городского типа), за исключением дошкольных – 100</w:t>
            </w:r>
            <w:proofErr w:type="gramStart"/>
            <w:r w:rsidRPr="00BD36D9">
              <w:rPr>
                <w:rFonts w:ascii="Times New Roman" w:eastAsia="Calibri" w:hAnsi="Times New Roman" w:cs="Times New Roman"/>
                <w:sz w:val="24"/>
                <w:szCs w:val="24"/>
              </w:rPr>
              <w:t>% .</w:t>
            </w:r>
            <w:proofErr w:type="gramEnd"/>
          </w:p>
          <w:p w:rsidR="00D072DF" w:rsidRPr="00BD36D9" w:rsidRDefault="00D072DF" w:rsidP="006037BE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36D9">
              <w:rPr>
                <w:rFonts w:ascii="Times New Roman" w:eastAsia="Calibri" w:hAnsi="Times New Roman" w:cs="Times New Roman"/>
                <w:sz w:val="24"/>
                <w:szCs w:val="24"/>
              </w:rPr>
              <w:t>22. Количество современных компьютеров (со сроком эксплуатации не более семи лет) на 100 обучающихся в общеобразовательных организациях муниципального образования Московской области –13,8 шт.</w:t>
            </w:r>
          </w:p>
          <w:p w:rsidR="00D072DF" w:rsidRPr="00BD36D9" w:rsidRDefault="00D072DF" w:rsidP="006037BE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36D9">
              <w:rPr>
                <w:rFonts w:ascii="Times New Roman" w:eastAsia="Calibri" w:hAnsi="Times New Roman" w:cs="Times New Roman"/>
                <w:sz w:val="24"/>
                <w:szCs w:val="24"/>
              </w:rPr>
              <w:t>23. Доля муниципальных организаций в муниципальном образовании Московской области, обеспеченных современными аппаратно-программными комплексами со средствами криптографической защиты информации – до 100%.</w:t>
            </w:r>
          </w:p>
          <w:p w:rsidR="00D072DF" w:rsidRPr="00BD36D9" w:rsidRDefault="00D072DF" w:rsidP="006037BE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36D9">
              <w:rPr>
                <w:rFonts w:ascii="Times New Roman" w:eastAsia="Calibri" w:hAnsi="Times New Roman" w:cs="Times New Roman"/>
                <w:sz w:val="24"/>
                <w:szCs w:val="24"/>
              </w:rPr>
              <w:t>24. Внедрение на территории Сергиево-Посадского городского округа целевой модели цифровой образовательной среды в образовательных организациях, реализующих образовательные программы общего образования и среднего профессионального образования.</w:t>
            </w:r>
          </w:p>
          <w:p w:rsidR="00D072DF" w:rsidRPr="00BD36D9" w:rsidRDefault="00D072DF" w:rsidP="006037BE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36D9">
              <w:rPr>
                <w:rFonts w:ascii="Times New Roman" w:eastAsia="Calibri" w:hAnsi="Times New Roman" w:cs="Times New Roman"/>
                <w:sz w:val="24"/>
                <w:szCs w:val="24"/>
              </w:rPr>
              <w:t>25. Доля многоквартирных домов, имеющих возможность пользоваться услугами проводного и мобильного доступа в информационно-телекоммуникационную сеть Интернет на скорости не менее 1 Мбит/с, предоставляемыми не менее чем 2 операторами связи – до 87,7% к 2024 году.</w:t>
            </w:r>
          </w:p>
          <w:p w:rsidR="00D072DF" w:rsidRPr="00BD36D9" w:rsidRDefault="00D072DF" w:rsidP="006037BE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36D9">
              <w:rPr>
                <w:rFonts w:ascii="Times New Roman" w:eastAsia="Calibri" w:hAnsi="Times New Roman" w:cs="Times New Roman"/>
                <w:sz w:val="24"/>
                <w:szCs w:val="24"/>
              </w:rPr>
              <w:t>26. Доля муниципальных учреждений культуры, обеспеченных доступом в информационно-телекоммуникационную сеть Интернет на скорости:</w:t>
            </w:r>
          </w:p>
          <w:p w:rsidR="00D072DF" w:rsidRPr="00BD36D9" w:rsidRDefault="00D072DF" w:rsidP="006037BE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36D9">
              <w:rPr>
                <w:rFonts w:ascii="Times New Roman" w:eastAsia="Calibri" w:hAnsi="Times New Roman" w:cs="Times New Roman"/>
                <w:sz w:val="24"/>
                <w:szCs w:val="24"/>
              </w:rPr>
              <w:t>для учреждений культуры, расположенных в городских населенных пунктах, – не менее 50 Мбит/с;</w:t>
            </w:r>
          </w:p>
          <w:p w:rsidR="00D072DF" w:rsidRPr="00BD36D9" w:rsidRDefault="00D072DF" w:rsidP="006037BE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36D9">
              <w:rPr>
                <w:rFonts w:ascii="Times New Roman" w:eastAsia="Calibri" w:hAnsi="Times New Roman" w:cs="Times New Roman"/>
                <w:sz w:val="24"/>
                <w:szCs w:val="24"/>
              </w:rPr>
              <w:t>для учреждений культуры, расположенных в сельских населенных пунктах, – не менее 10 Мбит/с – до 100%.</w:t>
            </w:r>
          </w:p>
          <w:p w:rsidR="00D072DF" w:rsidRPr="00BD36D9" w:rsidRDefault="00D072DF" w:rsidP="006037BE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36D9">
              <w:rPr>
                <w:rFonts w:ascii="Times New Roman" w:eastAsia="Calibri" w:hAnsi="Times New Roman" w:cs="Times New Roman"/>
                <w:sz w:val="24"/>
                <w:szCs w:val="24"/>
              </w:rPr>
              <w:t>27. Оснащение (обновление) образовательных организации компьютерным, мультимедийным, презентационным оборудованием и программным обеспечением в рамках эксперимента по модернизации начального общего, основного общего и среднего общего образования.</w:t>
            </w:r>
          </w:p>
          <w:p w:rsidR="00D072DF" w:rsidRPr="00BD36D9" w:rsidRDefault="00D072DF" w:rsidP="006037BE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36D9">
              <w:rPr>
                <w:rFonts w:ascii="Times New Roman" w:eastAsia="Calibri" w:hAnsi="Times New Roman" w:cs="Times New Roman"/>
                <w:sz w:val="24"/>
                <w:szCs w:val="24"/>
              </w:rPr>
              <w:t>28.</w:t>
            </w:r>
            <w:r w:rsidRPr="00BD36D9">
              <w:rPr>
                <w:rFonts w:ascii="Times New Roman" w:hAnsi="Times New Roman" w:cs="Times New Roman"/>
              </w:rPr>
              <w:t xml:space="preserve">  </w:t>
            </w:r>
            <w:r w:rsidRPr="00BD36D9">
              <w:rPr>
                <w:rFonts w:ascii="Times New Roman" w:eastAsia="Calibri" w:hAnsi="Times New Roman" w:cs="Times New Roman"/>
                <w:sz w:val="24"/>
                <w:szCs w:val="24"/>
              </w:rPr>
              <w:t>Доля помещений аппаратных, приведенных в соответствие со стандартом «Цифровая школа» в части</w:t>
            </w:r>
          </w:p>
          <w:p w:rsidR="00D072DF" w:rsidRPr="00BD36D9" w:rsidRDefault="00D072DF" w:rsidP="006037BE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36D9">
              <w:rPr>
                <w:rFonts w:ascii="Times New Roman" w:eastAsia="Calibri" w:hAnsi="Times New Roman" w:cs="Times New Roman"/>
                <w:sz w:val="24"/>
                <w:szCs w:val="24"/>
              </w:rPr>
              <w:t>ИТ-инфраструктуры государственных и муниципальных общеобразовательных организаций, реализующих программы общего образования, для обеспечения в помещениях безопасного доступа к государственным, муниципальным и иным информационным системам, информационно-телекоммуникационной сети «Интернет» и обеспечения базовой безопасности образовательного процесса – до 100% к 2023 г.</w:t>
            </w:r>
          </w:p>
          <w:p w:rsidR="00D072DF" w:rsidRPr="00BD36D9" w:rsidRDefault="00D072DF" w:rsidP="006037BE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36D9">
              <w:rPr>
                <w:rFonts w:ascii="Times New Roman" w:eastAsia="Calibri" w:hAnsi="Times New Roman" w:cs="Times New Roman"/>
                <w:sz w:val="24"/>
                <w:szCs w:val="24"/>
              </w:rPr>
              <w:t>29. Доля электронного юридически значимого документооборота в органах местного самоуправления и подведомственных им учреждениях в Московской области – до 100%</w:t>
            </w:r>
          </w:p>
          <w:p w:rsidR="00D072DF" w:rsidRPr="00BD36D9" w:rsidRDefault="00D072DF" w:rsidP="006037BE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36D9">
              <w:rPr>
                <w:rFonts w:ascii="Times New Roman" w:eastAsia="Calibri" w:hAnsi="Times New Roman" w:cs="Times New Roman"/>
                <w:sz w:val="24"/>
                <w:szCs w:val="24"/>
              </w:rPr>
              <w:t>30. Доля муниципальных (государственных) услуг, предоставленных без нарушения регламентного срока при оказании услуг в электронном виде на региональном портале государственных услуг – до 98%</w:t>
            </w:r>
          </w:p>
          <w:p w:rsidR="00D072DF" w:rsidRPr="00BD36D9" w:rsidRDefault="00D072DF" w:rsidP="006037BE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36D9">
              <w:rPr>
                <w:rFonts w:ascii="Times New Roman" w:eastAsia="Calibri" w:hAnsi="Times New Roman" w:cs="Times New Roman"/>
                <w:sz w:val="24"/>
                <w:szCs w:val="24"/>
              </w:rPr>
              <w:t>31. Доля обращений за получением муниципальных (государственных) услуг в электронном виде с использованием РПГУ без необходимости личного посещения органов местного самоуправления и МФЦ от общего количества таких услуг до 95,7% в 2024 году.</w:t>
            </w:r>
          </w:p>
          <w:p w:rsidR="00D072DF" w:rsidRPr="007A47D0" w:rsidRDefault="00D072DF" w:rsidP="006037BE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36D9">
              <w:rPr>
                <w:rFonts w:ascii="Times New Roman" w:eastAsia="Calibri" w:hAnsi="Times New Roman" w:cs="Times New Roman"/>
                <w:sz w:val="24"/>
                <w:szCs w:val="24"/>
              </w:rPr>
              <w:t>32. Образовательные организации обеспечены материально-технической базой для внедрения цифровой образовательной среды 7 организаций в 2024 году.</w:t>
            </w:r>
          </w:p>
        </w:tc>
      </w:tr>
    </w:tbl>
    <w:p w:rsidR="00D072DF" w:rsidRDefault="00D072DF" w:rsidP="00D072DF">
      <w:pPr>
        <w:keepNext/>
        <w:keepLines/>
        <w:spacing w:after="0" w:line="240" w:lineRule="auto"/>
        <w:jc w:val="center"/>
        <w:outlineLvl w:val="0"/>
        <w:rPr>
          <w:rFonts w:cs="Times New Roman"/>
          <w:b/>
          <w:bCs/>
          <w:szCs w:val="24"/>
        </w:rPr>
      </w:pPr>
    </w:p>
    <w:p w:rsidR="00944ADB" w:rsidRPr="00944ADB" w:rsidRDefault="00944ADB" w:rsidP="00BD36D9">
      <w:pPr>
        <w:spacing w:after="160" w:line="259" w:lineRule="auto"/>
        <w:rPr>
          <w:b/>
        </w:rPr>
      </w:pPr>
    </w:p>
    <w:sectPr w:rsidR="00944ADB" w:rsidRPr="00944ADB" w:rsidSect="00B471DD">
      <w:pgSz w:w="16838" w:h="11906" w:orient="landscape"/>
      <w:pgMar w:top="567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72DF"/>
    <w:rsid w:val="001E59DD"/>
    <w:rsid w:val="00283491"/>
    <w:rsid w:val="00335B28"/>
    <w:rsid w:val="003A2174"/>
    <w:rsid w:val="004C3D68"/>
    <w:rsid w:val="0051432A"/>
    <w:rsid w:val="00555A91"/>
    <w:rsid w:val="006D50CC"/>
    <w:rsid w:val="00901BDD"/>
    <w:rsid w:val="00944ADB"/>
    <w:rsid w:val="00967577"/>
    <w:rsid w:val="00A057FB"/>
    <w:rsid w:val="00A1722A"/>
    <w:rsid w:val="00A32815"/>
    <w:rsid w:val="00B471DD"/>
    <w:rsid w:val="00B82758"/>
    <w:rsid w:val="00BD36D9"/>
    <w:rsid w:val="00C75388"/>
    <w:rsid w:val="00D072DF"/>
    <w:rsid w:val="00F11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4AF54E-D899-4E98-9602-4F12EC187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72DF"/>
    <w:pPr>
      <w:spacing w:after="200" w:line="276" w:lineRule="auto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D072D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D072DF"/>
    <w:pPr>
      <w:spacing w:after="0" w:line="240" w:lineRule="auto"/>
    </w:pPr>
    <w:rPr>
      <w:rFonts w:ascii="Calibri" w:eastAsia="Calibri" w:hAnsi="Calibri" w:cs="Calibri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328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3281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302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3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1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2946</TotalTime>
  <Pages>3</Pages>
  <Words>1237</Words>
  <Characters>7055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Yurist</dc:creator>
  <cp:keywords/>
  <dc:description/>
  <cp:lastModifiedBy>Елена П. Сухарева</cp:lastModifiedBy>
  <cp:revision>17</cp:revision>
  <cp:lastPrinted>2022-11-03T13:25:00Z</cp:lastPrinted>
  <dcterms:created xsi:type="dcterms:W3CDTF">2022-10-28T08:47:00Z</dcterms:created>
  <dcterms:modified xsi:type="dcterms:W3CDTF">2022-11-03T13:58:00Z</dcterms:modified>
</cp:coreProperties>
</file>