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65099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54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54537D" w:rsidP="0054537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D527C5" w:rsidP="0054537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847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624FA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9B644C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FC6BD0" w:rsidP="0077620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49771D" w:rsidP="0077620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517B4" w:rsidRPr="00132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7B4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AB1BC7" w:rsidRDefault="00FC6BD0" w:rsidP="007762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77620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62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979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1 083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B66DCB">
        <w:trPr>
          <w:gridAfter w:val="1"/>
          <w:wAfter w:w="17" w:type="dxa"/>
          <w:trHeight w:val="27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культуры (детские школы искусств по видам искусств и училищ)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«Культурная среда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Доля 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области (руководитель и педагогические работники), которым пр</w:t>
            </w:r>
            <w:r w:rsidR="00765B06">
              <w:rPr>
                <w:rFonts w:cs="Times New Roman"/>
                <w:sz w:val="20"/>
                <w:szCs w:val="20"/>
                <w:lang w:bidi="ru-RU"/>
              </w:rPr>
              <w:t>оизведены стимулирующие выплаты</w:t>
            </w:r>
            <w:r w:rsidRPr="00041AC6">
              <w:rPr>
                <w:rFonts w:cs="Times New Roman"/>
                <w:sz w:val="20"/>
                <w:szCs w:val="20"/>
                <w:lang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B66DCB" w:rsidP="007C23FA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B66DCB">
              <w:rPr>
                <w:rFonts w:eastAsia="Times New Roman" w:cs="Times New Roman"/>
                <w:sz w:val="20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513BAC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7.02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156490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156490">
              <w:rPr>
                <w:rFonts w:eastAsia="Times New Roman" w:cs="Times New Roman"/>
                <w:sz w:val="20"/>
                <w:lang w:eastAsia="ru-RU" w:bidi="ru-RU"/>
              </w:rPr>
              <w:t>Количество работников муниципальных учреждений, которым п</w:t>
            </w:r>
            <w:r>
              <w:rPr>
                <w:rFonts w:eastAsia="Times New Roman" w:cs="Times New Roman"/>
                <w:sz w:val="20"/>
                <w:lang w:eastAsia="ru-RU" w:bidi="ru-RU"/>
              </w:rPr>
              <w:t>роизведены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DA28F0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156490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66DCB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6DCB">
              <w:rPr>
                <w:rFonts w:eastAsia="Times New Roman" w:cs="Times New Roman"/>
                <w:sz w:val="22"/>
                <w:szCs w:val="20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65B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>целев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ых показателей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513BAC">
        <w:trPr>
          <w:trHeight w:val="571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513BAC" w:rsidRDefault="00BD75C9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ЕАИС - единая федеральная автоматизированная информационная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определенных по итогам рейтингования и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</w:t>
            </w:r>
            <w:r w:rsidRPr="00260D19">
              <w:rPr>
                <w:rFonts w:eastAsia="Times New Roman" w:cs="Times New Roman"/>
                <w:sz w:val="22"/>
                <w:lang w:eastAsia="ru-RU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C83845" w:rsidRPr="00260D19" w:rsidRDefault="005C18F4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proofErr w:type="gramStart"/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276" w:type="dxa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9734C" w:rsidRPr="0089734C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831A43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B66DCB" w:rsidRPr="003866C2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276" w:type="dxa"/>
          </w:tcPr>
          <w:p w:rsidR="00B66DCB" w:rsidRPr="00C83845" w:rsidRDefault="00C85ABA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3866C2" w:rsidRDefault="00156490" w:rsidP="00A369D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Значение показателя на соответствующий календарный год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B66DCB" w:rsidRPr="005030EA" w:rsidRDefault="00B66DCB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B66DCB" w:rsidRPr="005030EA" w:rsidRDefault="007B31E5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B66DCB" w:rsidRPr="005030EA" w:rsidRDefault="007B31E5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B66DCB" w:rsidRPr="005030EA" w:rsidRDefault="007B31E5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B66DCB" w:rsidRPr="005030EA" w:rsidRDefault="00B66DCB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513BAC">
      <w:pPr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Методика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определения </w:t>
      </w: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результатов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выполнения мероприятий </w:t>
      </w:r>
      <w:r w:rsidRPr="00513BAC">
        <w:rPr>
          <w:rFonts w:eastAsia="Times New Roman" w:cs="Times New Roman"/>
          <w:b/>
          <w:bCs/>
          <w:color w:val="000000"/>
          <w:sz w:val="22"/>
          <w:lang w:eastAsia="ru-RU"/>
        </w:rPr>
        <w:t>муниципальной программы «Культура и туризм»</w:t>
      </w:r>
    </w:p>
    <w:p w:rsidR="00513BAC" w:rsidRDefault="00513BAC" w:rsidP="00513BAC">
      <w:pPr>
        <w:suppressAutoHyphens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5"/>
        <w:gridCol w:w="1705"/>
        <w:gridCol w:w="1483"/>
        <w:gridCol w:w="4253"/>
        <w:gridCol w:w="1559"/>
        <w:gridCol w:w="4017"/>
      </w:tblGrid>
      <w:tr w:rsidR="00415C57" w:rsidRPr="00CE0EC3" w:rsidTr="00415C57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подпрограммы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483" w:type="dxa"/>
          </w:tcPr>
          <w:p w:rsidR="00415C57" w:rsidRPr="00BD75C9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мероприятия</w:t>
            </w:r>
          </w:p>
        </w:tc>
        <w:tc>
          <w:tcPr>
            <w:tcW w:w="4253" w:type="dxa"/>
            <w:shd w:val="clear" w:color="auto" w:fill="auto"/>
          </w:tcPr>
          <w:p w:rsidR="00415C57" w:rsidRPr="00CE0EC3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415C57" w:rsidRPr="00BD75C9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017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Порядок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определения значений</w:t>
            </w:r>
          </w:p>
        </w:tc>
      </w:tr>
      <w:tr w:rsidR="00415C5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559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(библиотеки)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559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 xml:space="preserve">Созданы новые постановки и (или)  </w:t>
            </w: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посещений </w:t>
            </w: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525DC5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525DC5" w:rsidRDefault="004C643C" w:rsidP="00513BAC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</w:t>
            </w:r>
            <w:r w:rsidRPr="00525DC5">
              <w:rPr>
                <w:rFonts w:cs="Times New Roman"/>
                <w:color w:val="000000"/>
                <w:sz w:val="22"/>
              </w:rPr>
              <w:lastRenderedPageBreak/>
              <w:t>финансовую поддержку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89734C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9F40C4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D57F81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Оснащены муниципальные организации дополнительного образования в сфере </w:t>
            </w: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культуры (детские школы искусств по видам искусств) музыкальными инструментами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9F40C4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</w:tr>
      <w:tr w:rsidR="009F40C4" w:rsidRPr="00CE0EC3" w:rsidTr="009F40C4">
        <w:trPr>
          <w:trHeight w:val="1021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9F40C4" w:rsidRPr="005030EA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2546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9F40C4" w:rsidRPr="005030EA" w:rsidRDefault="007B31E5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9F40C4" w:rsidRPr="005030EA" w:rsidRDefault="007B31E5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9F40C4" w:rsidRPr="005030EA" w:rsidRDefault="007B31E5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988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9F40C4" w:rsidRPr="005030EA" w:rsidRDefault="009F40C4" w:rsidP="00513BA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</w:tr>
    </w:tbl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693CF7" w:rsidRDefault="00693CF7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lastRenderedPageBreak/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779"/>
        <w:gridCol w:w="638"/>
        <w:gridCol w:w="638"/>
        <w:gridCol w:w="567"/>
        <w:gridCol w:w="598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272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415C57" w:rsidP="00415C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15C57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4B3665" w:rsidRDefault="00415C57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871D8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02851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4B3665" w:rsidRDefault="00D02851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pStyle w:val="ConsPlusNormal"/>
              <w:ind w:left="-58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D02851">
            <w:pPr>
              <w:pStyle w:val="ConsPlusNormal"/>
              <w:ind w:left="-157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</w:t>
            </w: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вартал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829B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30 272,65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567"/>
        <w:gridCol w:w="567"/>
        <w:gridCol w:w="567"/>
        <w:gridCol w:w="543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806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BC12D5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176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AB1BC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409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515 2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89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233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7D16C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515 289,13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111 233,60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693CF7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1F7C20" w:rsidRDefault="00BC12D5" w:rsidP="001F7C2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1A1C75" w:rsidRDefault="00D02851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(модернизация библиотек в части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библиотека им. В.В. Розанова»</w:t>
            </w:r>
          </w:p>
        </w:tc>
      </w:tr>
      <w:tr w:rsidR="00BC12D5" w:rsidRPr="00AD3C77" w:rsidTr="009F40C4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2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1F7C20" w:rsidRDefault="00D02851" w:rsidP="001F7C2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МБУК «Центральная 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3866C2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2024 </w:t>
            </w: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D02851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В том числе</w:t>
            </w:r>
            <w:r w:rsidR="00BC12D5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806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176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523 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409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7" w:rsidRDefault="00693CF7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35"/>
        <w:gridCol w:w="966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9F40C4">
        <w:trPr>
          <w:trHeight w:val="3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CE4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552 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88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8A2ADB" w:rsidRDefault="00E02CCB" w:rsidP="00CE4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117 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033,35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600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5E40" w:rsidRPr="00AD3C77" w:rsidTr="009F40C4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A969E1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4 377,35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062182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640,05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F5E40" w:rsidRPr="00AD3C77" w:rsidTr="001F7C20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CC6BCF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E4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542 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8,0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CE4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32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115 5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107 1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53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E4B30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4B30">
              <w:rPr>
                <w:rFonts w:eastAsiaTheme="minorEastAsia" w:cs="Times New Roman"/>
                <w:sz w:val="20"/>
                <w:szCs w:val="20"/>
                <w:lang w:eastAsia="ru-RU"/>
              </w:rPr>
              <w:t>110 010,82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МБУК «Муниципальный оркестр»</w:t>
            </w:r>
          </w:p>
        </w:tc>
      </w:tr>
      <w:tr w:rsidR="00937D1B" w:rsidRPr="00AD3C77" w:rsidTr="007E448B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E4B30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4B3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539 466,73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E4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0 0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,82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40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419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 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AF76CD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965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6BC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943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1F7C2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AF76CD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3 4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Созданы новые постановки и (или)  </w:t>
            </w: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F371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2 803 911,84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609 367,19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F37122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37122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Pr="00F37122">
              <w:rPr>
                <w:rFonts w:eastAsiaTheme="minorEastAsia" w:cs="Times New Roman"/>
                <w:sz w:val="20"/>
                <w:szCs w:val="20"/>
                <w:lang w:eastAsia="ru-RU"/>
              </w:rPr>
              <w:t>3 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91</w:t>
            </w:r>
            <w:r w:rsidRPr="00F37122">
              <w:rPr>
                <w:rFonts w:eastAsiaTheme="minorEastAsia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937D1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937D1B"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83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E0034C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0034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E003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9 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36</w:t>
            </w:r>
            <w:r w:rsidRPr="00E0034C">
              <w:rPr>
                <w:rFonts w:eastAsiaTheme="minorEastAsia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культурно-досуговые </w:t>
            </w: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2 713 183,98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589 367,19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02851" w:rsidRDefault="00D02851" w:rsidP="00D028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9F40C4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D83130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3130" w:rsidRPr="00AD3C77" w:rsidTr="007C23FA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30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D83130"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городского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95142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329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9D065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E6524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Предоставлена адресная финансовая социальная поддержка по итогам рейтингования обучающихся </w:t>
            </w:r>
            <w:r w:rsidR="0093783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2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24" w:rsidRPr="00D91664" w:rsidRDefault="009E652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D91664" w:rsidRDefault="00395142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9514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38 583,38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4 435,53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38 583,38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4 435,53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2E052C">
        <w:trPr>
          <w:trHeight w:val="262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2E052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28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7E448B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2F52">
              <w:rPr>
                <w:rFonts w:eastAsia="Calibri" w:cs="Times New Roman"/>
                <w:color w:val="000000"/>
                <w:sz w:val="20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765B0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E22A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ДК им. Ю.А. Гагарина, МБУК ДК «Горизонт»</w:t>
            </w: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2E052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Pr="00AD3C77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E22A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F52">
              <w:rPr>
                <w:rFonts w:eastAsia="Calibri" w:cs="Times New Roman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65B0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культурно-досуговых учреждений, которым предусмотрены стимулирующие выплаты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362F5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Pr="00E836A9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209A">
            <w:pPr>
              <w:widowControl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  <w:p w:rsidR="00395142" w:rsidRPr="00D91664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362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 Елизаветы Мамонтовой»</w:t>
            </w: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15649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156490">
              <w:rPr>
                <w:rFonts w:eastAsiaTheme="minorEastAsia" w:cs="Times New Roman"/>
                <w:sz w:val="20"/>
                <w:szCs w:val="20"/>
                <w:lang w:eastAsia="ru-RU"/>
              </w:rPr>
              <w:t>оличество работников муниципальных учреждений, которым произведены стимулирующие выплаты</w:t>
            </w:r>
            <w:r w:rsidR="001A7632">
              <w:rPr>
                <w:rFonts w:eastAsiaTheme="minorEastAsia" w:cs="Times New Roman"/>
                <w:sz w:val="20"/>
                <w:szCs w:val="20"/>
                <w:lang w:eastAsia="ru-RU"/>
              </w:rPr>
              <w:t>, чел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E9179A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91664" w:rsidRDefault="001F7C2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56098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62F52" w:rsidRDefault="000C5E05" w:rsidP="00FA4D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3 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56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50708F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0C5E05" w:rsidP="00FA4D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7E22A6" w:rsidP="0039514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698 225,78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641 874,66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7E448B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655DE6" w:rsidRDefault="000C5E05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4,0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655DE6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142" w:rsidRPr="00062182" w:rsidRDefault="00395142" w:rsidP="000C5E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078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395142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95142">
              <w:rPr>
                <w:rFonts w:eastAsiaTheme="minorEastAsia" w:cs="Times New Roman"/>
                <w:sz w:val="20"/>
                <w:szCs w:val="20"/>
                <w:lang w:eastAsia="ru-RU"/>
              </w:rPr>
              <w:t>1 819,2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62182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74A41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5 671,17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074A41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C6A25" w:rsidRDefault="00395142" w:rsidP="00FA4D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3 3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bookmarkStart w:id="1" w:name="_GoBack"/>
            <w:bookmarkEnd w:id="1"/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3C6A25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8A2ADB" w:rsidRDefault="00395142" w:rsidP="00FA4D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7C23F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4D12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7C23F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695 591,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94 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640 436,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66  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23022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 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693CF7" w:rsidRDefault="00693CF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766"/>
        <w:gridCol w:w="1324"/>
        <w:gridCol w:w="1738"/>
        <w:gridCol w:w="1062"/>
        <w:gridCol w:w="1223"/>
        <w:gridCol w:w="762"/>
        <w:gridCol w:w="873"/>
        <w:gridCol w:w="1103"/>
        <w:gridCol w:w="903"/>
        <w:gridCol w:w="903"/>
        <w:gridCol w:w="616"/>
        <w:gridCol w:w="616"/>
        <w:gridCol w:w="616"/>
        <w:gridCol w:w="1799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D83130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 xml:space="preserve">Создание доступной среды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7E7FB1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1F7C20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29256E"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D854B7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9E6524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1F7C99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E052C" w:rsidRDefault="002E052C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1 444 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857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741E7D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A82F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741E7D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741E7D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256 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698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Внебюджетные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1F7C20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lastRenderedPageBreak/>
              <w:t xml:space="preserve">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Итого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1F7C20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работников организаций дополнительного образования сферы культуры </w:t>
            </w:r>
            <w:r w:rsidR="00B84CCF">
              <w:rPr>
                <w:rFonts w:ascii="Times New Roman" w:eastAsiaTheme="minorEastAsia" w:hAnsi="Times New Roman" w:cs="Times New Roman"/>
                <w:sz w:val="20"/>
              </w:rPr>
              <w:t>Московской</w:t>
            </w:r>
            <w:proofErr w:type="gramEnd"/>
            <w:r w:rsidR="00B84CCF"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(руководители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2331D9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C351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489 9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52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277 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753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9E6524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23 416,97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11 396,97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1 466 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535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266 3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56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00"/>
        <w:gridCol w:w="2090"/>
        <w:gridCol w:w="1351"/>
        <w:gridCol w:w="1718"/>
        <w:gridCol w:w="1106"/>
        <w:gridCol w:w="754"/>
        <w:gridCol w:w="763"/>
        <w:gridCol w:w="873"/>
        <w:gridCol w:w="1103"/>
        <w:gridCol w:w="903"/>
        <w:gridCol w:w="903"/>
        <w:gridCol w:w="669"/>
        <w:gridCol w:w="724"/>
        <w:gridCol w:w="644"/>
        <w:gridCol w:w="1674"/>
      </w:tblGrid>
      <w:tr w:rsidR="00F446B0" w:rsidRPr="00AD3C77" w:rsidTr="001F7C20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1F7C20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8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</w:t>
            </w:r>
            <w:r w:rsidR="00DC1BAC" w:rsidRPr="00DC1BAC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78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2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297F57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26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297F57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99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3E1925">
        <w:rPr>
          <w:rFonts w:cs="Times New Roman"/>
          <w:b/>
          <w:sz w:val="24"/>
          <w:szCs w:val="24"/>
        </w:rPr>
        <w:t xml:space="preserve">6.7. </w:t>
      </w:r>
      <w:r w:rsidR="00A35F22" w:rsidRPr="003E1925">
        <w:rPr>
          <w:rFonts w:cs="Times New Roman"/>
          <w:b/>
          <w:sz w:val="24"/>
          <w:szCs w:val="24"/>
        </w:rPr>
        <w:t>Перечень</w:t>
      </w:r>
      <w:r w:rsidRPr="003E1925">
        <w:rPr>
          <w:rFonts w:cs="Times New Roman"/>
          <w:b/>
          <w:sz w:val="24"/>
          <w:szCs w:val="24"/>
        </w:rPr>
        <w:t xml:space="preserve"> </w:t>
      </w:r>
      <w:r w:rsidR="00A35F22" w:rsidRPr="003E1925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3E1925">
        <w:rPr>
          <w:rFonts w:cs="Times New Roman"/>
          <w:b/>
          <w:sz w:val="24"/>
          <w:szCs w:val="24"/>
          <w:lang w:val="en-US"/>
        </w:rPr>
        <w:t>V</w:t>
      </w:r>
      <w:r w:rsidR="000D7302" w:rsidRPr="003E1925">
        <w:rPr>
          <w:rFonts w:cs="Times New Roman"/>
          <w:b/>
          <w:sz w:val="24"/>
          <w:szCs w:val="24"/>
        </w:rPr>
        <w:t>I</w:t>
      </w:r>
      <w:r w:rsidR="000D7302" w:rsidRPr="003E1925">
        <w:rPr>
          <w:rFonts w:cs="Times New Roman"/>
          <w:b/>
          <w:sz w:val="24"/>
          <w:szCs w:val="24"/>
          <w:lang w:val="en-US"/>
        </w:rPr>
        <w:t>II</w:t>
      </w:r>
      <w:r w:rsidR="00A35F22" w:rsidRPr="003E1925">
        <w:rPr>
          <w:rFonts w:cs="Times New Roman"/>
          <w:b/>
          <w:sz w:val="24"/>
          <w:szCs w:val="24"/>
        </w:rPr>
        <w:t xml:space="preserve"> «</w:t>
      </w:r>
      <w:r w:rsidR="00FB354D" w:rsidRPr="003E1925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3E1925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F44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9E6524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E6524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E6524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811B3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lang w:eastAsia="ru-RU"/>
              </w:rPr>
              <w:t>107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9D0659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DC31D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0D3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1F7C2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845F0" w:rsidRPr="00861D3E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BB0268">
        <w:trPr>
          <w:cantSplit/>
          <w:trHeight w:val="11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B84F4E" w:rsidRDefault="001F7C2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BB0268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D0659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2E052C">
        <w:rPr>
          <w:rFonts w:eastAsia="Times New Roman" w:cs="Times New Roman"/>
          <w:sz w:val="24"/>
          <w:szCs w:val="24"/>
          <w:lang w:eastAsia="ru-RU"/>
        </w:rPr>
        <w:t>а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E5" w:rsidRDefault="007B31E5">
      <w:r>
        <w:separator/>
      </w:r>
    </w:p>
  </w:endnote>
  <w:endnote w:type="continuationSeparator" w:id="0">
    <w:p w:rsidR="007B31E5" w:rsidRDefault="007B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E5" w:rsidRDefault="007B31E5">
      <w:pPr>
        <w:rPr>
          <w:sz w:val="12"/>
        </w:rPr>
      </w:pPr>
      <w:r>
        <w:separator/>
      </w:r>
    </w:p>
  </w:footnote>
  <w:footnote w:type="continuationSeparator" w:id="0">
    <w:p w:rsidR="007B31E5" w:rsidRDefault="007B31E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872E6" w:rsidRPr="00D52B39" w:rsidRDefault="00A872E6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FA4D12">
          <w:rPr>
            <w:noProof/>
            <w:sz w:val="24"/>
          </w:rPr>
          <w:t>44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0C9"/>
    <w:rsid w:val="00087620"/>
    <w:rsid w:val="000910EA"/>
    <w:rsid w:val="00096A74"/>
    <w:rsid w:val="0009771F"/>
    <w:rsid w:val="000A6583"/>
    <w:rsid w:val="000A75F7"/>
    <w:rsid w:val="000B2BDE"/>
    <w:rsid w:val="000B34D2"/>
    <w:rsid w:val="000B4F70"/>
    <w:rsid w:val="000B546A"/>
    <w:rsid w:val="000B63D9"/>
    <w:rsid w:val="000B7459"/>
    <w:rsid w:val="000C10F5"/>
    <w:rsid w:val="000C1599"/>
    <w:rsid w:val="000C29B2"/>
    <w:rsid w:val="000C3D5D"/>
    <w:rsid w:val="000C5E05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8B3"/>
    <w:rsid w:val="00127D71"/>
    <w:rsid w:val="00131944"/>
    <w:rsid w:val="001325AC"/>
    <w:rsid w:val="00133DF0"/>
    <w:rsid w:val="00136F17"/>
    <w:rsid w:val="00140A4D"/>
    <w:rsid w:val="001420C8"/>
    <w:rsid w:val="00142803"/>
    <w:rsid w:val="00143060"/>
    <w:rsid w:val="001450B3"/>
    <w:rsid w:val="0014674F"/>
    <w:rsid w:val="00150642"/>
    <w:rsid w:val="00154141"/>
    <w:rsid w:val="00156490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A7632"/>
    <w:rsid w:val="001B0FEF"/>
    <w:rsid w:val="001B29D0"/>
    <w:rsid w:val="001B3CA5"/>
    <w:rsid w:val="001B44F8"/>
    <w:rsid w:val="001B528A"/>
    <w:rsid w:val="001B63D3"/>
    <w:rsid w:val="001B6EA4"/>
    <w:rsid w:val="001B7AFE"/>
    <w:rsid w:val="001C0BB7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2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51ED"/>
    <w:rsid w:val="002257D9"/>
    <w:rsid w:val="00227014"/>
    <w:rsid w:val="002327DB"/>
    <w:rsid w:val="00232F23"/>
    <w:rsid w:val="002331D9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871"/>
    <w:rsid w:val="00247C1A"/>
    <w:rsid w:val="002519A5"/>
    <w:rsid w:val="00254F91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97F57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D23"/>
    <w:rsid w:val="002B6C88"/>
    <w:rsid w:val="002B6F04"/>
    <w:rsid w:val="002B7AF1"/>
    <w:rsid w:val="002C1E06"/>
    <w:rsid w:val="002C35B2"/>
    <w:rsid w:val="002C5E80"/>
    <w:rsid w:val="002C7E7E"/>
    <w:rsid w:val="002D12FA"/>
    <w:rsid w:val="002D4025"/>
    <w:rsid w:val="002D4C0A"/>
    <w:rsid w:val="002D4FC9"/>
    <w:rsid w:val="002D5BAF"/>
    <w:rsid w:val="002D5DCF"/>
    <w:rsid w:val="002D652C"/>
    <w:rsid w:val="002E052C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1989"/>
    <w:rsid w:val="00354DC2"/>
    <w:rsid w:val="00355909"/>
    <w:rsid w:val="0035618A"/>
    <w:rsid w:val="00356906"/>
    <w:rsid w:val="00361152"/>
    <w:rsid w:val="0036209A"/>
    <w:rsid w:val="00362A13"/>
    <w:rsid w:val="00362F52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5142"/>
    <w:rsid w:val="00396926"/>
    <w:rsid w:val="003A0A18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D03"/>
    <w:rsid w:val="003C4844"/>
    <w:rsid w:val="003C4EC3"/>
    <w:rsid w:val="003C6A25"/>
    <w:rsid w:val="003C7867"/>
    <w:rsid w:val="003C7A5D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5C57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5B0A"/>
    <w:rsid w:val="0048721B"/>
    <w:rsid w:val="004951CC"/>
    <w:rsid w:val="00497092"/>
    <w:rsid w:val="0049771D"/>
    <w:rsid w:val="004A390A"/>
    <w:rsid w:val="004A5325"/>
    <w:rsid w:val="004B18A6"/>
    <w:rsid w:val="004B1BEF"/>
    <w:rsid w:val="004B3665"/>
    <w:rsid w:val="004B5175"/>
    <w:rsid w:val="004B5641"/>
    <w:rsid w:val="004B7224"/>
    <w:rsid w:val="004C03F7"/>
    <w:rsid w:val="004C1CAA"/>
    <w:rsid w:val="004C1E98"/>
    <w:rsid w:val="004C643C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3BAC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537D"/>
    <w:rsid w:val="00546349"/>
    <w:rsid w:val="00546B2F"/>
    <w:rsid w:val="005470CB"/>
    <w:rsid w:val="00547B3A"/>
    <w:rsid w:val="0055489A"/>
    <w:rsid w:val="0055556F"/>
    <w:rsid w:val="00555839"/>
    <w:rsid w:val="005600E7"/>
    <w:rsid w:val="00560982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36DD"/>
    <w:rsid w:val="00616477"/>
    <w:rsid w:val="00616DFB"/>
    <w:rsid w:val="0062096A"/>
    <w:rsid w:val="006209D8"/>
    <w:rsid w:val="00620D33"/>
    <w:rsid w:val="00621198"/>
    <w:rsid w:val="0062182E"/>
    <w:rsid w:val="00623570"/>
    <w:rsid w:val="0062441B"/>
    <w:rsid w:val="00624E7B"/>
    <w:rsid w:val="00624FAD"/>
    <w:rsid w:val="00626D0B"/>
    <w:rsid w:val="00627AB7"/>
    <w:rsid w:val="00631796"/>
    <w:rsid w:val="00631810"/>
    <w:rsid w:val="00633A97"/>
    <w:rsid w:val="006341BF"/>
    <w:rsid w:val="00635299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ECA"/>
    <w:rsid w:val="006644E3"/>
    <w:rsid w:val="006648B0"/>
    <w:rsid w:val="006659BD"/>
    <w:rsid w:val="00667AC8"/>
    <w:rsid w:val="00670A20"/>
    <w:rsid w:val="00672576"/>
    <w:rsid w:val="00672FCD"/>
    <w:rsid w:val="00675BD4"/>
    <w:rsid w:val="006822BC"/>
    <w:rsid w:val="00682436"/>
    <w:rsid w:val="00682BF1"/>
    <w:rsid w:val="00685492"/>
    <w:rsid w:val="00685C63"/>
    <w:rsid w:val="00687906"/>
    <w:rsid w:val="00690005"/>
    <w:rsid w:val="00693CF7"/>
    <w:rsid w:val="0069483E"/>
    <w:rsid w:val="00696484"/>
    <w:rsid w:val="006A03BF"/>
    <w:rsid w:val="006A3E9D"/>
    <w:rsid w:val="006A4E93"/>
    <w:rsid w:val="006A5163"/>
    <w:rsid w:val="006A56B1"/>
    <w:rsid w:val="006A6C49"/>
    <w:rsid w:val="006B7086"/>
    <w:rsid w:val="006C07CD"/>
    <w:rsid w:val="006C0EEC"/>
    <w:rsid w:val="006C1AD6"/>
    <w:rsid w:val="006C3364"/>
    <w:rsid w:val="006C3A06"/>
    <w:rsid w:val="006C70FB"/>
    <w:rsid w:val="006D26D5"/>
    <w:rsid w:val="006D4F5B"/>
    <w:rsid w:val="006D55F0"/>
    <w:rsid w:val="006E09CA"/>
    <w:rsid w:val="006E1066"/>
    <w:rsid w:val="006E2135"/>
    <w:rsid w:val="006E340F"/>
    <w:rsid w:val="006E5D19"/>
    <w:rsid w:val="006F066A"/>
    <w:rsid w:val="006F078D"/>
    <w:rsid w:val="006F33CF"/>
    <w:rsid w:val="006F524A"/>
    <w:rsid w:val="00702572"/>
    <w:rsid w:val="00702B26"/>
    <w:rsid w:val="00702F61"/>
    <w:rsid w:val="007035BB"/>
    <w:rsid w:val="00707474"/>
    <w:rsid w:val="00710069"/>
    <w:rsid w:val="007101FC"/>
    <w:rsid w:val="00711091"/>
    <w:rsid w:val="00713F14"/>
    <w:rsid w:val="0071493B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37219"/>
    <w:rsid w:val="00741A52"/>
    <w:rsid w:val="00741E7D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5B06"/>
    <w:rsid w:val="007669ED"/>
    <w:rsid w:val="00766AFB"/>
    <w:rsid w:val="00767B3B"/>
    <w:rsid w:val="00773F52"/>
    <w:rsid w:val="0077518A"/>
    <w:rsid w:val="0077620C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3583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31E5"/>
    <w:rsid w:val="007B5BF1"/>
    <w:rsid w:val="007B65D9"/>
    <w:rsid w:val="007C0835"/>
    <w:rsid w:val="007C23FA"/>
    <w:rsid w:val="007C3284"/>
    <w:rsid w:val="007D16C9"/>
    <w:rsid w:val="007D1EF9"/>
    <w:rsid w:val="007D20DE"/>
    <w:rsid w:val="007D41C8"/>
    <w:rsid w:val="007D46A9"/>
    <w:rsid w:val="007D5F4A"/>
    <w:rsid w:val="007D7F5B"/>
    <w:rsid w:val="007E00F3"/>
    <w:rsid w:val="007E22A6"/>
    <w:rsid w:val="007E22B5"/>
    <w:rsid w:val="007E448B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1B30"/>
    <w:rsid w:val="008120FD"/>
    <w:rsid w:val="0081292B"/>
    <w:rsid w:val="00813534"/>
    <w:rsid w:val="00814B1D"/>
    <w:rsid w:val="0081562F"/>
    <w:rsid w:val="00820A3F"/>
    <w:rsid w:val="00821C67"/>
    <w:rsid w:val="00822C72"/>
    <w:rsid w:val="00826989"/>
    <w:rsid w:val="00826A97"/>
    <w:rsid w:val="00830943"/>
    <w:rsid w:val="00831A43"/>
    <w:rsid w:val="008322F4"/>
    <w:rsid w:val="0083414C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7008"/>
    <w:rsid w:val="008772D4"/>
    <w:rsid w:val="008829B5"/>
    <w:rsid w:val="00884620"/>
    <w:rsid w:val="00886171"/>
    <w:rsid w:val="00895F3C"/>
    <w:rsid w:val="0089734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83D"/>
    <w:rsid w:val="00937ABA"/>
    <w:rsid w:val="00937D1B"/>
    <w:rsid w:val="00937EAA"/>
    <w:rsid w:val="00941F46"/>
    <w:rsid w:val="00942CB4"/>
    <w:rsid w:val="00943FDA"/>
    <w:rsid w:val="00944175"/>
    <w:rsid w:val="00944432"/>
    <w:rsid w:val="009444AF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5BD0"/>
    <w:rsid w:val="009B644C"/>
    <w:rsid w:val="009C1E44"/>
    <w:rsid w:val="009C6987"/>
    <w:rsid w:val="009C7E2A"/>
    <w:rsid w:val="009D0659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6524"/>
    <w:rsid w:val="009E7783"/>
    <w:rsid w:val="009F40C4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F22"/>
    <w:rsid w:val="00A36717"/>
    <w:rsid w:val="00A369DE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659F"/>
    <w:rsid w:val="00A57006"/>
    <w:rsid w:val="00A61D23"/>
    <w:rsid w:val="00A62A12"/>
    <w:rsid w:val="00A66ADE"/>
    <w:rsid w:val="00A71720"/>
    <w:rsid w:val="00A72670"/>
    <w:rsid w:val="00A7301E"/>
    <w:rsid w:val="00A751D8"/>
    <w:rsid w:val="00A75226"/>
    <w:rsid w:val="00A76231"/>
    <w:rsid w:val="00A80826"/>
    <w:rsid w:val="00A80CAD"/>
    <w:rsid w:val="00A8266A"/>
    <w:rsid w:val="00A82F63"/>
    <w:rsid w:val="00A84B79"/>
    <w:rsid w:val="00A86F9B"/>
    <w:rsid w:val="00A872E6"/>
    <w:rsid w:val="00A95A49"/>
    <w:rsid w:val="00A9602A"/>
    <w:rsid w:val="00A969E1"/>
    <w:rsid w:val="00AA1576"/>
    <w:rsid w:val="00AA18D4"/>
    <w:rsid w:val="00AA1E3F"/>
    <w:rsid w:val="00AA3F58"/>
    <w:rsid w:val="00AA5192"/>
    <w:rsid w:val="00AA6885"/>
    <w:rsid w:val="00AB1677"/>
    <w:rsid w:val="00AB1BC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3C77"/>
    <w:rsid w:val="00AD3FC4"/>
    <w:rsid w:val="00AD5651"/>
    <w:rsid w:val="00AD7316"/>
    <w:rsid w:val="00AD7810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66DCB"/>
    <w:rsid w:val="00B70938"/>
    <w:rsid w:val="00B7536F"/>
    <w:rsid w:val="00B766A5"/>
    <w:rsid w:val="00B770E0"/>
    <w:rsid w:val="00B84CCF"/>
    <w:rsid w:val="00B84F4E"/>
    <w:rsid w:val="00B973D3"/>
    <w:rsid w:val="00B97AA6"/>
    <w:rsid w:val="00BA0676"/>
    <w:rsid w:val="00BA2E7B"/>
    <w:rsid w:val="00BA3C00"/>
    <w:rsid w:val="00BA5D24"/>
    <w:rsid w:val="00BA7ADF"/>
    <w:rsid w:val="00BB0268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270D"/>
    <w:rsid w:val="00BD46B8"/>
    <w:rsid w:val="00BD75C9"/>
    <w:rsid w:val="00BD78A2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37BDA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3845"/>
    <w:rsid w:val="00C85ABA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0B35"/>
    <w:rsid w:val="00CC1D8E"/>
    <w:rsid w:val="00CC25E9"/>
    <w:rsid w:val="00CC3322"/>
    <w:rsid w:val="00CC48D3"/>
    <w:rsid w:val="00CC5B06"/>
    <w:rsid w:val="00CC62CD"/>
    <w:rsid w:val="00CC6BCF"/>
    <w:rsid w:val="00CD5168"/>
    <w:rsid w:val="00CD51EF"/>
    <w:rsid w:val="00CD5273"/>
    <w:rsid w:val="00CD65E0"/>
    <w:rsid w:val="00CE0EC3"/>
    <w:rsid w:val="00CE4B30"/>
    <w:rsid w:val="00CE4FE0"/>
    <w:rsid w:val="00CE5E71"/>
    <w:rsid w:val="00CE7028"/>
    <w:rsid w:val="00CF0354"/>
    <w:rsid w:val="00CF0C2F"/>
    <w:rsid w:val="00CF24EC"/>
    <w:rsid w:val="00CF3748"/>
    <w:rsid w:val="00CF5E40"/>
    <w:rsid w:val="00D025D9"/>
    <w:rsid w:val="00D02851"/>
    <w:rsid w:val="00D02F92"/>
    <w:rsid w:val="00D044A6"/>
    <w:rsid w:val="00D05C7C"/>
    <w:rsid w:val="00D07E7E"/>
    <w:rsid w:val="00D1185E"/>
    <w:rsid w:val="00D130CB"/>
    <w:rsid w:val="00D1403F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8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76833"/>
    <w:rsid w:val="00D82B1F"/>
    <w:rsid w:val="00D83130"/>
    <w:rsid w:val="00D854B7"/>
    <w:rsid w:val="00D85A4B"/>
    <w:rsid w:val="00D91373"/>
    <w:rsid w:val="00D91664"/>
    <w:rsid w:val="00D91903"/>
    <w:rsid w:val="00D96076"/>
    <w:rsid w:val="00D96AC3"/>
    <w:rsid w:val="00DA0C64"/>
    <w:rsid w:val="00DA28F0"/>
    <w:rsid w:val="00DA4A9C"/>
    <w:rsid w:val="00DB240B"/>
    <w:rsid w:val="00DB2FAD"/>
    <w:rsid w:val="00DB2FE0"/>
    <w:rsid w:val="00DB59A3"/>
    <w:rsid w:val="00DC021C"/>
    <w:rsid w:val="00DC10DE"/>
    <w:rsid w:val="00DC1BAC"/>
    <w:rsid w:val="00DC31D0"/>
    <w:rsid w:val="00DC6D05"/>
    <w:rsid w:val="00DD0A63"/>
    <w:rsid w:val="00DD0CF4"/>
    <w:rsid w:val="00DD114A"/>
    <w:rsid w:val="00DD7E75"/>
    <w:rsid w:val="00DE199B"/>
    <w:rsid w:val="00DE34C9"/>
    <w:rsid w:val="00DE4BEC"/>
    <w:rsid w:val="00DE4CE4"/>
    <w:rsid w:val="00DE518C"/>
    <w:rsid w:val="00DE586A"/>
    <w:rsid w:val="00DE6EA7"/>
    <w:rsid w:val="00DF232B"/>
    <w:rsid w:val="00DF76BE"/>
    <w:rsid w:val="00E0022C"/>
    <w:rsid w:val="00E0034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6FDC"/>
    <w:rsid w:val="00E47A33"/>
    <w:rsid w:val="00E52898"/>
    <w:rsid w:val="00E57E19"/>
    <w:rsid w:val="00E57E26"/>
    <w:rsid w:val="00E627EF"/>
    <w:rsid w:val="00E63876"/>
    <w:rsid w:val="00E64F32"/>
    <w:rsid w:val="00E67B1B"/>
    <w:rsid w:val="00E73A90"/>
    <w:rsid w:val="00E74600"/>
    <w:rsid w:val="00E75470"/>
    <w:rsid w:val="00E764A5"/>
    <w:rsid w:val="00E76AD8"/>
    <w:rsid w:val="00E81EF7"/>
    <w:rsid w:val="00E836A9"/>
    <w:rsid w:val="00E85B31"/>
    <w:rsid w:val="00E86D51"/>
    <w:rsid w:val="00E87829"/>
    <w:rsid w:val="00E87A5C"/>
    <w:rsid w:val="00E90E37"/>
    <w:rsid w:val="00E9179A"/>
    <w:rsid w:val="00E93CA9"/>
    <w:rsid w:val="00E93FB6"/>
    <w:rsid w:val="00E945DE"/>
    <w:rsid w:val="00E94FAB"/>
    <w:rsid w:val="00E956E1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2721"/>
    <w:rsid w:val="00F16FC7"/>
    <w:rsid w:val="00F17C0F"/>
    <w:rsid w:val="00F17DD8"/>
    <w:rsid w:val="00F21CEC"/>
    <w:rsid w:val="00F245B9"/>
    <w:rsid w:val="00F247F5"/>
    <w:rsid w:val="00F27243"/>
    <w:rsid w:val="00F3019F"/>
    <w:rsid w:val="00F30551"/>
    <w:rsid w:val="00F31B78"/>
    <w:rsid w:val="00F364EE"/>
    <w:rsid w:val="00F37122"/>
    <w:rsid w:val="00F44277"/>
    <w:rsid w:val="00F446B0"/>
    <w:rsid w:val="00F45D6A"/>
    <w:rsid w:val="00F464B1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A4D12"/>
    <w:rsid w:val="00FB0EE1"/>
    <w:rsid w:val="00FB27F1"/>
    <w:rsid w:val="00FB354D"/>
    <w:rsid w:val="00FB3AB5"/>
    <w:rsid w:val="00FB3FB4"/>
    <w:rsid w:val="00FB42CE"/>
    <w:rsid w:val="00FB6724"/>
    <w:rsid w:val="00FB71B4"/>
    <w:rsid w:val="00FC182D"/>
    <w:rsid w:val="00FC454E"/>
    <w:rsid w:val="00FC4E01"/>
    <w:rsid w:val="00FC53A4"/>
    <w:rsid w:val="00FC5AE9"/>
    <w:rsid w:val="00FC6BD0"/>
    <w:rsid w:val="00FD2FC4"/>
    <w:rsid w:val="00FE10DD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A57-7D57-4D08-B83D-86D28D4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57</Pages>
  <Words>13678</Words>
  <Characters>77971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274</cp:revision>
  <cp:lastPrinted>2024-04-25T14:06:00Z</cp:lastPrinted>
  <dcterms:created xsi:type="dcterms:W3CDTF">2023-12-27T07:54:00Z</dcterms:created>
  <dcterms:modified xsi:type="dcterms:W3CDTF">2024-08-05T13:56:00Z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