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proofErr w:type="gramStart"/>
      <w:r w:rsidRPr="003D3EA9">
        <w:rPr>
          <w:b/>
          <w:sz w:val="24"/>
          <w:szCs w:val="24"/>
        </w:rPr>
        <w:t xml:space="preserve">области»   </w:t>
      </w:r>
      <w:proofErr w:type="gramEnd"/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BA1ED0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2 060 262,67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474C96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387 643,2</w:t>
            </w:r>
            <w:r w:rsidR="00DF457B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FB2AC2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FB2AC2">
              <w:rPr>
                <w:sz w:val="24"/>
                <w:szCs w:val="24"/>
              </w:rPr>
              <w:t>825 243,02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FB2AC2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155 296,19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FB2AC2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2 885 505,69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FB2AC2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542 939,45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proofErr w:type="gramStart"/>
      <w:r w:rsidR="00E336CE" w:rsidRPr="003D3EA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="00E336CE" w:rsidRPr="003D3EA9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</w:t>
      </w:r>
      <w:proofErr w:type="gramStart"/>
      <w:r w:rsidRPr="003D3EA9">
        <w:rPr>
          <w:sz w:val="24"/>
          <w:szCs w:val="24"/>
        </w:rPr>
        <w:t>в  муниципальных</w:t>
      </w:r>
      <w:proofErr w:type="gramEnd"/>
      <w:r w:rsidRPr="003D3EA9">
        <w:rPr>
          <w:sz w:val="24"/>
          <w:szCs w:val="24"/>
        </w:rPr>
        <w:t xml:space="preserve">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</w:t>
      </w:r>
      <w:proofErr w:type="gramStart"/>
      <w:r w:rsidRPr="003D3EA9">
        <w:rPr>
          <w:sz w:val="24"/>
          <w:szCs w:val="24"/>
        </w:rPr>
        <w:t>муниципальных  учреждений</w:t>
      </w:r>
      <w:proofErr w:type="gramEnd"/>
      <w:r w:rsidRPr="003D3EA9">
        <w:rPr>
          <w:sz w:val="24"/>
          <w:szCs w:val="24"/>
        </w:rPr>
        <w:t xml:space="preserve">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 xml:space="preserve">, решение вопросов повышения </w:t>
      </w:r>
      <w:proofErr w:type="gramStart"/>
      <w:r w:rsidRPr="003D3EA9">
        <w:rPr>
          <w:sz w:val="24"/>
          <w:szCs w:val="24"/>
        </w:rPr>
        <w:t>энергоэффективности  имеет</w:t>
      </w:r>
      <w:proofErr w:type="gramEnd"/>
      <w:r w:rsidRPr="003D3EA9">
        <w:rPr>
          <w:sz w:val="24"/>
          <w:szCs w:val="24"/>
        </w:rPr>
        <w:t xml:space="preserve">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уменьшить потери теплоносителя, холодной и </w:t>
      </w:r>
      <w:proofErr w:type="gramStart"/>
      <w:r w:rsidRPr="003D3EA9">
        <w:rPr>
          <w:sz w:val="24"/>
          <w:szCs w:val="24"/>
        </w:rPr>
        <w:t>горячей  воды</w:t>
      </w:r>
      <w:proofErr w:type="gramEnd"/>
      <w:r w:rsidRPr="003D3EA9">
        <w:rPr>
          <w:sz w:val="24"/>
          <w:szCs w:val="24"/>
        </w:rPr>
        <w:t xml:space="preserve">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населения, обеспеченного доброкачественной питьевой водой из централизованных источников </w:t>
      </w:r>
      <w:proofErr w:type="gramStart"/>
      <w:r w:rsidRPr="003D3EA9">
        <w:rPr>
          <w:sz w:val="24"/>
          <w:szCs w:val="24"/>
        </w:rPr>
        <w:t>водоснабжения  с</w:t>
      </w:r>
      <w:proofErr w:type="gramEnd"/>
      <w:r w:rsidRPr="003D3EA9">
        <w:rPr>
          <w:sz w:val="24"/>
          <w:szCs w:val="24"/>
        </w:rPr>
        <w:t xml:space="preserve">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сточных вод, очищенных до нормативных </w:t>
      </w:r>
      <w:proofErr w:type="gramStart"/>
      <w:r w:rsidRPr="003D3EA9">
        <w:rPr>
          <w:sz w:val="24"/>
          <w:szCs w:val="24"/>
        </w:rPr>
        <w:t>значений,  в</w:t>
      </w:r>
      <w:proofErr w:type="gramEnd"/>
      <w:r w:rsidRPr="003D3EA9">
        <w:rPr>
          <w:sz w:val="24"/>
          <w:szCs w:val="24"/>
        </w:rPr>
        <w:t xml:space="preserve">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 xml:space="preserve">Номер подпрограммы, мероприятий, </w:t>
            </w:r>
            <w:proofErr w:type="gramStart"/>
            <w:r w:rsidRPr="003D3EA9">
              <w:rPr>
                <w:rFonts w:cs="Times New Roman"/>
                <w:sz w:val="22"/>
              </w:rPr>
              <w:t>оказывающих  влияние</w:t>
            </w:r>
            <w:proofErr w:type="gramEnd"/>
            <w:r w:rsidRPr="003D3EA9">
              <w:rPr>
                <w:rFonts w:cs="Times New Roman"/>
                <w:sz w:val="22"/>
              </w:rPr>
              <w:t xml:space="preserve">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lastRenderedPageBreak/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</w:t>
            </w:r>
            <w:proofErr w:type="gramStart"/>
            <w:r w:rsidRPr="00730F5B">
              <w:rPr>
                <w:rFonts w:eastAsia="Times New Roman" w:cs="Times New Roman"/>
                <w:sz w:val="22"/>
                <w:lang w:eastAsia="ru-RU"/>
              </w:rPr>
              <w:t>реконструированы  объекты</w:t>
            </w:r>
            <w:proofErr w:type="gramEnd"/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>
              <w:rPr>
                <w:rFonts w:eastAsia="Calibri" w:cs="Times New Roman"/>
                <w:sz w:val="22"/>
              </w:rPr>
              <w:t>построеных</w:t>
            </w:r>
            <w:proofErr w:type="spellEnd"/>
            <w:r>
              <w:rPr>
                <w:rFonts w:eastAsia="Calibri" w:cs="Times New Roman"/>
                <w:sz w:val="22"/>
              </w:rPr>
              <w:t>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D3EA9">
              <w:rPr>
                <w:rFonts w:eastAsia="Calibri" w:cs="Times New Roman"/>
                <w:sz w:val="22"/>
              </w:rPr>
              <w:t>ъектов</w:t>
            </w:r>
            <w:proofErr w:type="spellEnd"/>
            <w:r w:rsidRPr="003D3EA9">
              <w:rPr>
                <w:rFonts w:eastAsia="Calibri" w:cs="Times New Roman"/>
                <w:sz w:val="22"/>
              </w:rPr>
              <w:t xml:space="preserve">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F24C85">
              <w:rPr>
                <w:rFonts w:eastAsia="Times New Roman" w:cs="Times New Roman"/>
                <w:sz w:val="22"/>
                <w:lang w:eastAsia="ru-RU"/>
              </w:rPr>
              <w:t>закольцовки</w:t>
            </w:r>
            <w:proofErr w:type="spellEnd"/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 w:rsidRPr="000E77DE">
              <w:rPr>
                <w:rFonts w:eastAsia="Calibri" w:cs="Times New Roman"/>
                <w:sz w:val="22"/>
              </w:rPr>
              <w:t>построеных</w:t>
            </w:r>
            <w:proofErr w:type="spellEnd"/>
            <w:r w:rsidRPr="000E77DE">
              <w:rPr>
                <w:rFonts w:eastAsia="Calibri" w:cs="Times New Roman"/>
                <w:sz w:val="22"/>
              </w:rPr>
              <w:t>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3D3EA9">
              <w:rPr>
                <w:rFonts w:eastAsia="Calibri" w:cs="Times New Roman"/>
                <w:sz w:val="22"/>
              </w:rPr>
              <w:t>8  ППРФ</w:t>
            </w:r>
            <w:proofErr w:type="gramEnd"/>
            <w:r w:rsidRPr="003D3EA9">
              <w:rPr>
                <w:rFonts w:eastAsia="Calibri" w:cs="Times New Roman"/>
                <w:sz w:val="22"/>
              </w:rPr>
              <w:t xml:space="preserve">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индивидуальных приборов учета в муниципальных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</w:t>
            </w:r>
            <w:r w:rsidRPr="00C40903">
              <w:rPr>
                <w:sz w:val="16"/>
                <w:szCs w:val="16"/>
              </w:rPr>
              <w:lastRenderedPageBreak/>
              <w:t>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</w:t>
            </w:r>
            <w:proofErr w:type="spellEnd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Построены и </w:t>
            </w:r>
            <w:proofErr w:type="gramStart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реконструированы  объекты</w:t>
            </w:r>
            <w:proofErr w:type="gramEnd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закольцовки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 xml:space="preserve">Станция водоочистки                            пос. </w:t>
            </w:r>
            <w:proofErr w:type="spellStart"/>
            <w:r w:rsidRPr="00503C2B">
              <w:rPr>
                <w:rFonts w:cs="Times New Roman"/>
                <w:sz w:val="16"/>
                <w:szCs w:val="16"/>
              </w:rPr>
              <w:t>Птицеград</w:t>
            </w:r>
            <w:proofErr w:type="spellEnd"/>
            <w:r w:rsidRPr="00503C2B"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</w:t>
            </w:r>
            <w:r w:rsidR="00C234CC">
              <w:rPr>
                <w:rFonts w:cs="Times New Roman"/>
                <w:sz w:val="16"/>
                <w:szCs w:val="16"/>
              </w:rPr>
              <w:lastRenderedPageBreak/>
              <w:t>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340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</w:t>
            </w:r>
            <w:proofErr w:type="spellStart"/>
            <w:r w:rsidR="00C234CC"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 w:rsidR="00C234CC">
              <w:rPr>
                <w:rFonts w:cs="Times New Roman"/>
                <w:sz w:val="16"/>
                <w:szCs w:val="16"/>
              </w:rPr>
              <w:t>, Сергиево-</w:t>
            </w:r>
            <w:proofErr w:type="gramStart"/>
            <w:r w:rsidR="00C234CC">
              <w:rPr>
                <w:rFonts w:cs="Times New Roman"/>
                <w:sz w:val="16"/>
                <w:szCs w:val="16"/>
              </w:rPr>
              <w:t xml:space="preserve">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</w:t>
            </w:r>
            <w:proofErr w:type="gramEnd"/>
            <w:r w:rsidR="006A0A9C">
              <w:rPr>
                <w:rFonts w:cs="Times New Roman"/>
                <w:sz w:val="16"/>
                <w:szCs w:val="16"/>
              </w:rPr>
              <w:t xml:space="preserve">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66"/>
        <w:gridCol w:w="851"/>
        <w:gridCol w:w="850"/>
        <w:gridCol w:w="992"/>
        <w:gridCol w:w="1559"/>
        <w:gridCol w:w="16"/>
      </w:tblGrid>
      <w:tr w:rsidR="00AD7CD9" w:rsidRPr="003D3EA9" w:rsidTr="00AD7CD9">
        <w:trPr>
          <w:gridAfter w:val="1"/>
          <w:wAfter w:w="16" w:type="dxa"/>
          <w:trHeight w:val="1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AD7CD9" w:rsidRPr="003D3EA9" w:rsidRDefault="00AD7CD9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D1361F" w:rsidRPr="003D3EA9" w:rsidTr="00AD7CD9">
        <w:trPr>
          <w:trHeight w:val="7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87623" w:rsidRDefault="00D1361F" w:rsidP="00FE7840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закольцовки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г.Краснозаводск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п.Зелёный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д.Рогачево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и п.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0F47B4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1361F" w:rsidRPr="003D3EA9" w:rsidTr="00AD7CD9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D1361F" w:rsidRPr="003D3EA9" w:rsidTr="00AD7CD9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361F" w:rsidRPr="003D3EA9" w:rsidTr="00AD7CD9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1F" w:rsidRPr="003D3EA9" w:rsidRDefault="00D1361F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EE138B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C234CC" w:rsidRDefault="00D1361F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1F" w:rsidRPr="003D3EA9" w:rsidRDefault="00AD7CD9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61F" w:rsidRPr="003D3EA9" w:rsidRDefault="00D1361F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1 263 156,71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274 993,36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300 605,72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51 303,91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362BB5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362BB5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–  Строительство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E4312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E43129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</w:t>
            </w:r>
            <w:proofErr w:type="gramEnd"/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1 534 723,83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295 849,44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327 571,85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72 159,99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9100A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 xml:space="preserve">Строительство очистных сооружений канализации в д. </w:t>
            </w:r>
            <w:proofErr w:type="spellStart"/>
            <w:r w:rsidRPr="00F55680">
              <w:rPr>
                <w:sz w:val="16"/>
                <w:szCs w:val="16"/>
              </w:rPr>
              <w:t>Зубцово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д.Зубцово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9100A2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 xml:space="preserve">Технологическое присоединение к централизованным сетям холодного водоснабжения очистных сооружений в </w:t>
            </w:r>
            <w:proofErr w:type="spellStart"/>
            <w:r w:rsidRPr="009100A2">
              <w:rPr>
                <w:sz w:val="16"/>
                <w:szCs w:val="16"/>
              </w:rPr>
              <w:t>с.Сватково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EC5956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FC3A2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 xml:space="preserve">Системы </w:t>
      </w:r>
      <w:proofErr w:type="gramStart"/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койко-место и так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дале</w:t>
            </w:r>
            <w:proofErr w:type="spellEnd"/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капитального строительства /до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 xml:space="preserve">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 xml:space="preserve">2 «Системы </w:t>
      </w:r>
      <w:proofErr w:type="gramStart"/>
      <w:r w:rsidR="001645C9" w:rsidRPr="003D3EA9">
        <w:rPr>
          <w:rFonts w:ascii="Times New Roman" w:hAnsi="Times New Roman" w:cs="Times New Roman"/>
          <w:sz w:val="24"/>
          <w:szCs w:val="24"/>
        </w:rPr>
        <w:t>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4D4D1F">
              <w:rPr>
                <w:sz w:val="16"/>
                <w:szCs w:val="16"/>
              </w:rPr>
              <w:t>адресу:  г.</w:t>
            </w:r>
            <w:proofErr w:type="gramEnd"/>
            <w:r w:rsidRPr="004D4D1F">
              <w:rPr>
                <w:sz w:val="16"/>
                <w:szCs w:val="16"/>
              </w:rPr>
              <w:t xml:space="preserve"> Сергиев Посад, ул. </w:t>
            </w:r>
            <w:proofErr w:type="spellStart"/>
            <w:r w:rsidRPr="004D4D1F">
              <w:rPr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sz w:val="16"/>
                <w:szCs w:val="16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E46E67" w:rsidP="00556EC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 xml:space="preserve">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монтаж и ввод оборудования на КНС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4F383A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="00893905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</w:t>
            </w:r>
            <w:r>
              <w:rPr>
                <w:sz w:val="16"/>
                <w:szCs w:val="16"/>
              </w:rPr>
              <w:lastRenderedPageBreak/>
              <w:t>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F76F93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F76F93"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04227D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 xml:space="preserve">Актуализация программы комплексного развития систем коммунальной </w:t>
            </w: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Итого 2025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9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12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063CFD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</w:t>
            </w:r>
            <w:proofErr w:type="gramStart"/>
            <w:r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</w:t>
            </w:r>
            <w:proofErr w:type="gramEnd"/>
            <w:r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</w:t>
            </w:r>
            <w:proofErr w:type="spellStart"/>
            <w:r w:rsidR="00BA3852" w:rsidRPr="00BA3852">
              <w:rPr>
                <w:sz w:val="16"/>
                <w:szCs w:val="16"/>
              </w:rPr>
              <w:t>Коршуниха</w:t>
            </w:r>
            <w:proofErr w:type="spellEnd"/>
            <w:r w:rsidR="00BA3852"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</w:t>
            </w:r>
            <w:proofErr w:type="spellStart"/>
            <w:r w:rsidRPr="00EB174D">
              <w:rPr>
                <w:sz w:val="18"/>
                <w:szCs w:val="18"/>
              </w:rPr>
              <w:t>блочно</w:t>
            </w:r>
            <w:proofErr w:type="spellEnd"/>
            <w:r w:rsidRPr="00EB174D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C60B70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6D1D8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6D1D8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1547"/>
            <w:bookmarkEnd w:id="0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 xml:space="preserve">Развитие газификации, топливозаправочного комплекса и </w:t>
      </w:r>
      <w:proofErr w:type="gramStart"/>
      <w:r w:rsidRPr="003D3EA9">
        <w:rPr>
          <w:rFonts w:ascii="Times New Roman" w:eastAsia="SimSun" w:hAnsi="Times New Roman" w:cs="Times New Roman"/>
          <w:sz w:val="24"/>
          <w:szCs w:val="24"/>
        </w:rPr>
        <w:t>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F85BF5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57 420,66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bookmarkStart w:id="1" w:name="_GoBack"/>
            <w:bookmarkEnd w:id="1"/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429 556,59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310 258,00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67D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proofErr w:type="spellEnd"/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E619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proofErr w:type="gramStart"/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proofErr w:type="gramEnd"/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AF5E53" w:rsidRDefault="00F300A7" w:rsidP="0074640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74640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0D7A7C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F300A7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3D3EA9" w:rsidRDefault="00F300A7" w:rsidP="00F300A7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</w:t>
            </w:r>
            <w:r w:rsidRPr="003D3EA9">
              <w:rPr>
                <w:sz w:val="16"/>
                <w:szCs w:val="16"/>
              </w:rPr>
              <w:lastRenderedPageBreak/>
              <w:t>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300A7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F300A7" w:rsidRDefault="00F300A7" w:rsidP="00F300A7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1E3504" w:rsidRDefault="00F300A7" w:rsidP="00F300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431 019,59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E4231C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311 721,00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43 764,00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D33317" w:rsidRDefault="00F300A7" w:rsidP="00F3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0B5AC9" w:rsidRDefault="00F300A7" w:rsidP="00F300A7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F300A7" w:rsidRPr="000B5AC9" w:rsidRDefault="00F300A7" w:rsidP="00F300A7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Pr="000B5AC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F300A7" w:rsidRPr="00464769" w:rsidRDefault="00F300A7" w:rsidP="00F3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1)  оперативный отчёт о реализации мероприятий </w:t>
      </w:r>
      <w:proofErr w:type="gramStart"/>
      <w:r w:rsidRPr="00DD4BB5">
        <w:rPr>
          <w:sz w:val="24"/>
          <w:szCs w:val="24"/>
        </w:rPr>
        <w:t>муниципальной  программы</w:t>
      </w:r>
      <w:proofErr w:type="gramEnd"/>
      <w:r w:rsidRPr="00DD4BB5">
        <w:rPr>
          <w:sz w:val="24"/>
          <w:szCs w:val="24"/>
        </w:rPr>
        <w:t xml:space="preserve">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42" w:rsidRDefault="004D5242" w:rsidP="00A8159B">
      <w:r>
        <w:separator/>
      </w:r>
    </w:p>
  </w:endnote>
  <w:endnote w:type="continuationSeparator" w:id="0">
    <w:p w:rsidR="004D5242" w:rsidRDefault="004D5242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42" w:rsidRDefault="004D5242" w:rsidP="00A8159B">
      <w:r>
        <w:separator/>
      </w:r>
    </w:p>
  </w:footnote>
  <w:footnote w:type="continuationSeparator" w:id="0">
    <w:p w:rsidR="004D5242" w:rsidRDefault="004D5242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Content>
      <w:p w:rsidR="00930565" w:rsidRDefault="0093056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2D90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930565" w:rsidRDefault="009305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12DD"/>
    <w:rsid w:val="0001350F"/>
    <w:rsid w:val="00015BFA"/>
    <w:rsid w:val="0002054C"/>
    <w:rsid w:val="00023728"/>
    <w:rsid w:val="00025DB5"/>
    <w:rsid w:val="000278E0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FCD"/>
    <w:rsid w:val="00054574"/>
    <w:rsid w:val="0005666E"/>
    <w:rsid w:val="00056AAA"/>
    <w:rsid w:val="00057206"/>
    <w:rsid w:val="00057346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636F"/>
    <w:rsid w:val="00087140"/>
    <w:rsid w:val="00090EFD"/>
    <w:rsid w:val="00095736"/>
    <w:rsid w:val="000971D0"/>
    <w:rsid w:val="000A19F4"/>
    <w:rsid w:val="000A2272"/>
    <w:rsid w:val="000B1AF8"/>
    <w:rsid w:val="000B3684"/>
    <w:rsid w:val="000B5AC9"/>
    <w:rsid w:val="000B70EC"/>
    <w:rsid w:val="000C4DC5"/>
    <w:rsid w:val="000C5FAF"/>
    <w:rsid w:val="000C64E8"/>
    <w:rsid w:val="000C66C6"/>
    <w:rsid w:val="000D1195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18ED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4527"/>
    <w:rsid w:val="001845EB"/>
    <w:rsid w:val="0018482F"/>
    <w:rsid w:val="00190688"/>
    <w:rsid w:val="001909DE"/>
    <w:rsid w:val="00191DF0"/>
    <w:rsid w:val="00191F7F"/>
    <w:rsid w:val="00196A9F"/>
    <w:rsid w:val="001A30B3"/>
    <w:rsid w:val="001A5038"/>
    <w:rsid w:val="001A613C"/>
    <w:rsid w:val="001A6ECF"/>
    <w:rsid w:val="001B2191"/>
    <w:rsid w:val="001B230F"/>
    <w:rsid w:val="001B3170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7A65"/>
    <w:rsid w:val="00201339"/>
    <w:rsid w:val="0021375C"/>
    <w:rsid w:val="002176F0"/>
    <w:rsid w:val="00217849"/>
    <w:rsid w:val="00221C23"/>
    <w:rsid w:val="00222381"/>
    <w:rsid w:val="00222422"/>
    <w:rsid w:val="00230372"/>
    <w:rsid w:val="002334CF"/>
    <w:rsid w:val="0023610F"/>
    <w:rsid w:val="002430BD"/>
    <w:rsid w:val="00246B79"/>
    <w:rsid w:val="00250DE0"/>
    <w:rsid w:val="002544CA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8CB"/>
    <w:rsid w:val="00273D50"/>
    <w:rsid w:val="0027529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3BE9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3E97"/>
    <w:rsid w:val="0041410B"/>
    <w:rsid w:val="00415D01"/>
    <w:rsid w:val="00417B86"/>
    <w:rsid w:val="00425FDF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F34"/>
    <w:rsid w:val="005071CF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69F2"/>
    <w:rsid w:val="00556ECF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388D"/>
    <w:rsid w:val="005C3C68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46596"/>
    <w:rsid w:val="0065341E"/>
    <w:rsid w:val="00654083"/>
    <w:rsid w:val="006557C4"/>
    <w:rsid w:val="006619D4"/>
    <w:rsid w:val="00664FE3"/>
    <w:rsid w:val="006701E4"/>
    <w:rsid w:val="00673D90"/>
    <w:rsid w:val="006805F3"/>
    <w:rsid w:val="006818FA"/>
    <w:rsid w:val="006826FE"/>
    <w:rsid w:val="00683D93"/>
    <w:rsid w:val="00683F3D"/>
    <w:rsid w:val="00687D67"/>
    <w:rsid w:val="00690323"/>
    <w:rsid w:val="00695F1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0D02"/>
    <w:rsid w:val="006E241D"/>
    <w:rsid w:val="006E42C8"/>
    <w:rsid w:val="006E42E9"/>
    <w:rsid w:val="006E5B4B"/>
    <w:rsid w:val="006F069F"/>
    <w:rsid w:val="006F1D9B"/>
    <w:rsid w:val="006F43E5"/>
    <w:rsid w:val="007052F8"/>
    <w:rsid w:val="0070731D"/>
    <w:rsid w:val="00707339"/>
    <w:rsid w:val="00713939"/>
    <w:rsid w:val="0071447C"/>
    <w:rsid w:val="007149C8"/>
    <w:rsid w:val="007203B4"/>
    <w:rsid w:val="00720DD0"/>
    <w:rsid w:val="007218D2"/>
    <w:rsid w:val="007226B3"/>
    <w:rsid w:val="00724F9C"/>
    <w:rsid w:val="00730F5B"/>
    <w:rsid w:val="00731933"/>
    <w:rsid w:val="00731991"/>
    <w:rsid w:val="00736C03"/>
    <w:rsid w:val="00737CEA"/>
    <w:rsid w:val="00742A5B"/>
    <w:rsid w:val="00746405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71B0B"/>
    <w:rsid w:val="00771EE5"/>
    <w:rsid w:val="007724E0"/>
    <w:rsid w:val="0077419A"/>
    <w:rsid w:val="00774CDA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E0E"/>
    <w:rsid w:val="007970B7"/>
    <w:rsid w:val="00797CA4"/>
    <w:rsid w:val="007A3A8F"/>
    <w:rsid w:val="007B1D0C"/>
    <w:rsid w:val="007B2A7B"/>
    <w:rsid w:val="007B2EC0"/>
    <w:rsid w:val="007B305A"/>
    <w:rsid w:val="007C0BC4"/>
    <w:rsid w:val="007C0C48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40C7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4B35"/>
    <w:rsid w:val="00915702"/>
    <w:rsid w:val="00916830"/>
    <w:rsid w:val="00917BE7"/>
    <w:rsid w:val="00920585"/>
    <w:rsid w:val="00923019"/>
    <w:rsid w:val="0092431F"/>
    <w:rsid w:val="00924DE6"/>
    <w:rsid w:val="00927132"/>
    <w:rsid w:val="009273C8"/>
    <w:rsid w:val="00930565"/>
    <w:rsid w:val="00930BA7"/>
    <w:rsid w:val="009311E7"/>
    <w:rsid w:val="0093244C"/>
    <w:rsid w:val="009403BA"/>
    <w:rsid w:val="00941400"/>
    <w:rsid w:val="00945A37"/>
    <w:rsid w:val="00945CDF"/>
    <w:rsid w:val="00950B2A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1B75"/>
    <w:rsid w:val="009F3E38"/>
    <w:rsid w:val="009F50F4"/>
    <w:rsid w:val="009F6DA7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6AA1"/>
    <w:rsid w:val="00A2183A"/>
    <w:rsid w:val="00A224D5"/>
    <w:rsid w:val="00A22D37"/>
    <w:rsid w:val="00A235BE"/>
    <w:rsid w:val="00A23E80"/>
    <w:rsid w:val="00A254E2"/>
    <w:rsid w:val="00A3052F"/>
    <w:rsid w:val="00A32252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2D90"/>
    <w:rsid w:val="00A84373"/>
    <w:rsid w:val="00A84A21"/>
    <w:rsid w:val="00A851CD"/>
    <w:rsid w:val="00A86130"/>
    <w:rsid w:val="00A87C42"/>
    <w:rsid w:val="00A87CA3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E68"/>
    <w:rsid w:val="00B1710B"/>
    <w:rsid w:val="00B20E5C"/>
    <w:rsid w:val="00B23960"/>
    <w:rsid w:val="00B24558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C55"/>
    <w:rsid w:val="00BA1ED0"/>
    <w:rsid w:val="00BA2F33"/>
    <w:rsid w:val="00BA3852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4742"/>
    <w:rsid w:val="00C05C80"/>
    <w:rsid w:val="00C06C08"/>
    <w:rsid w:val="00C078A5"/>
    <w:rsid w:val="00C16C80"/>
    <w:rsid w:val="00C20869"/>
    <w:rsid w:val="00C22E52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518C"/>
    <w:rsid w:val="00C4733F"/>
    <w:rsid w:val="00C508AB"/>
    <w:rsid w:val="00C52A28"/>
    <w:rsid w:val="00C52EFF"/>
    <w:rsid w:val="00C543D9"/>
    <w:rsid w:val="00C55715"/>
    <w:rsid w:val="00C604FA"/>
    <w:rsid w:val="00C60B70"/>
    <w:rsid w:val="00C61FE2"/>
    <w:rsid w:val="00C663CC"/>
    <w:rsid w:val="00C664DF"/>
    <w:rsid w:val="00C67DA4"/>
    <w:rsid w:val="00C70892"/>
    <w:rsid w:val="00C72744"/>
    <w:rsid w:val="00C72F56"/>
    <w:rsid w:val="00C744D9"/>
    <w:rsid w:val="00C81155"/>
    <w:rsid w:val="00C82288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B2E"/>
    <w:rsid w:val="00D32E5E"/>
    <w:rsid w:val="00D33317"/>
    <w:rsid w:val="00D354B2"/>
    <w:rsid w:val="00D3668B"/>
    <w:rsid w:val="00D371D9"/>
    <w:rsid w:val="00D37E17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FCE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5D91"/>
    <w:rsid w:val="00EB7269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4C85"/>
    <w:rsid w:val="00F259CD"/>
    <w:rsid w:val="00F25E52"/>
    <w:rsid w:val="00F300A7"/>
    <w:rsid w:val="00F30414"/>
    <w:rsid w:val="00F3407F"/>
    <w:rsid w:val="00F36844"/>
    <w:rsid w:val="00F37C33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5133"/>
    <w:rsid w:val="00F85BF5"/>
    <w:rsid w:val="00F86137"/>
    <w:rsid w:val="00F8634F"/>
    <w:rsid w:val="00F87F4A"/>
    <w:rsid w:val="00F90271"/>
    <w:rsid w:val="00F90FC7"/>
    <w:rsid w:val="00FA06C9"/>
    <w:rsid w:val="00FA29DA"/>
    <w:rsid w:val="00FA46E6"/>
    <w:rsid w:val="00FA6E5D"/>
    <w:rsid w:val="00FB2AC2"/>
    <w:rsid w:val="00FB48FC"/>
    <w:rsid w:val="00FB6C0B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AFAD-D594-49E5-8CF1-3920A92D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52</Pages>
  <Words>14121</Words>
  <Characters>80490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Пользователь</cp:lastModifiedBy>
  <cp:revision>26</cp:revision>
  <cp:lastPrinted>2025-03-27T07:48:00Z</cp:lastPrinted>
  <dcterms:created xsi:type="dcterms:W3CDTF">2025-02-20T14:01:00Z</dcterms:created>
  <dcterms:modified xsi:type="dcterms:W3CDTF">2025-03-27T07:50:00Z</dcterms:modified>
</cp:coreProperties>
</file>