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C95EB" w14:textId="54539EF2" w:rsidR="00062690" w:rsidRPr="001B4845" w:rsidRDefault="000C7426" w:rsidP="00062690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bookmarkStart w:id="0" w:name="_Hlk103259124"/>
      <w:r>
        <w:rPr>
          <w:rFonts w:ascii="Times New Roman" w:eastAsia="Calibri" w:hAnsi="Times New Roman" w:cs="Times New Roman"/>
          <w:sz w:val="24"/>
          <w:szCs w:val="24"/>
        </w:rPr>
        <w:t>Приложение № 1</w:t>
      </w:r>
      <w:r>
        <w:rPr>
          <w:rFonts w:ascii="Times New Roman" w:eastAsia="Calibri" w:hAnsi="Times New Roman" w:cs="Times New Roman"/>
          <w:sz w:val="24"/>
          <w:szCs w:val="24"/>
        </w:rPr>
        <w:br/>
        <w:t>к проекту решения о</w:t>
      </w:r>
      <w:r w:rsidR="003A1C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1C98" w:rsidRPr="003A1C98">
        <w:rPr>
          <w:rFonts w:ascii="Times New Roman" w:eastAsia="Calibri" w:hAnsi="Times New Roman" w:cs="Times New Roman"/>
          <w:sz w:val="24"/>
          <w:szCs w:val="24"/>
        </w:rPr>
        <w:t>комплексно</w:t>
      </w:r>
      <w:r w:rsidR="003A1C98">
        <w:rPr>
          <w:rFonts w:ascii="Times New Roman" w:eastAsia="Calibri" w:hAnsi="Times New Roman" w:cs="Times New Roman"/>
          <w:sz w:val="24"/>
          <w:szCs w:val="24"/>
        </w:rPr>
        <w:t>м</w:t>
      </w:r>
      <w:r w:rsidR="003A1C98" w:rsidRPr="003A1C98">
        <w:rPr>
          <w:rFonts w:ascii="Times New Roman" w:eastAsia="Calibri" w:hAnsi="Times New Roman" w:cs="Times New Roman"/>
          <w:sz w:val="24"/>
          <w:szCs w:val="24"/>
        </w:rPr>
        <w:t xml:space="preserve"> развитии территории нежилой застройки Сергиево-Посадского городского округа Московской области</w:t>
      </w:r>
      <w:r w:rsidR="00062690">
        <w:rPr>
          <w:rFonts w:ascii="Times New Roman" w:eastAsia="Calibri" w:hAnsi="Times New Roman" w:cs="Times New Roman"/>
          <w:sz w:val="24"/>
          <w:szCs w:val="24"/>
        </w:rPr>
        <w:t>,</w:t>
      </w:r>
      <w:r w:rsidR="003A1C98" w:rsidRPr="003A1C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690" w:rsidRPr="001A290B">
        <w:rPr>
          <w:rFonts w:ascii="Times New Roman" w:hAnsi="Times New Roman" w:cs="Times New Roman"/>
          <w:sz w:val="24"/>
          <w:szCs w:val="24"/>
        </w:rPr>
        <w:t>расположенной по адресу: Московская область,</w:t>
      </w:r>
      <w:r w:rsidR="00062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690" w:rsidRPr="00D0276B">
        <w:rPr>
          <w:rFonts w:ascii="Times New Roman" w:hAnsi="Times New Roman" w:cs="Times New Roman"/>
          <w:sz w:val="24"/>
          <w:szCs w:val="24"/>
        </w:rPr>
        <w:t>Сергиево-Посадский городской округ,</w:t>
      </w:r>
      <w:r w:rsidR="00062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690" w:rsidRPr="001A290B">
        <w:rPr>
          <w:rFonts w:ascii="Times New Roman" w:hAnsi="Times New Roman" w:cs="Times New Roman"/>
          <w:sz w:val="24"/>
          <w:szCs w:val="24"/>
        </w:rPr>
        <w:t>г. Сергиев Посад, ул. Фестивальная, общей площадью 5,8 га</w:t>
      </w:r>
    </w:p>
    <w:p w14:paraId="25448C09" w14:textId="77777777" w:rsidR="002673E8" w:rsidRDefault="002673E8" w:rsidP="00062690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27832668" w14:textId="77777777" w:rsidR="00062690" w:rsidRDefault="00062690" w:rsidP="0006269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F313C98" w14:textId="77777777" w:rsidR="003A1C98" w:rsidRPr="003A1C98" w:rsidRDefault="003A1C98" w:rsidP="00062690">
      <w:pPr>
        <w:numPr>
          <w:ilvl w:val="0"/>
          <w:numId w:val="7"/>
        </w:num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1C98">
        <w:rPr>
          <w:rFonts w:ascii="Times New Roman" w:eastAsia="Calibri" w:hAnsi="Times New Roman" w:cs="Times New Roman"/>
          <w:b/>
          <w:sz w:val="24"/>
          <w:szCs w:val="24"/>
        </w:rPr>
        <w:t>Графическое описание местоположения границ территории нежилой застройки,</w:t>
      </w:r>
    </w:p>
    <w:p w14:paraId="6EEE5EAB" w14:textId="77777777" w:rsidR="003A1C98" w:rsidRPr="003A1C98" w:rsidRDefault="003A1C98" w:rsidP="00062690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1C98">
        <w:rPr>
          <w:rFonts w:ascii="Times New Roman" w:eastAsia="Calibri" w:hAnsi="Times New Roman" w:cs="Times New Roman"/>
          <w:b/>
          <w:sz w:val="24"/>
          <w:szCs w:val="24"/>
        </w:rPr>
        <w:t>подлежащей комплексному развитию и расположенной по адресу:</w:t>
      </w:r>
    </w:p>
    <w:p w14:paraId="49B2C2F4" w14:textId="40D3D4B3" w:rsidR="003A1C98" w:rsidRPr="003A1C98" w:rsidRDefault="003A1C98" w:rsidP="00062690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1C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Московская область, </w:t>
      </w:r>
      <w:r w:rsidR="000626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Сергиево-Посадский городской округ, </w:t>
      </w:r>
      <w:r w:rsidRPr="003A1C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г. Сергиев Посад, </w:t>
      </w:r>
      <w:r w:rsidR="00062690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3A1C98">
        <w:rPr>
          <w:rFonts w:ascii="Times New Roman" w:eastAsia="Calibri" w:hAnsi="Times New Roman" w:cs="Times New Roman"/>
          <w:b/>
          <w:bCs/>
          <w:sz w:val="24"/>
          <w:szCs w:val="24"/>
        </w:rPr>
        <w:t>ул. Фестивальная.</w:t>
      </w:r>
    </w:p>
    <w:p w14:paraId="69EDD5CB" w14:textId="77777777" w:rsidR="003A1C98" w:rsidRPr="003A1C98" w:rsidRDefault="003A1C98" w:rsidP="003A1C9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42FADB4" w14:textId="77777777" w:rsidR="003A1C98" w:rsidRPr="003A1C98" w:rsidRDefault="003A1C98" w:rsidP="003A1C98">
      <w:pPr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1C9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AD3603" wp14:editId="0A2D7200">
            <wp:extent cx="5425175" cy="5745700"/>
            <wp:effectExtent l="0" t="0" r="444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6783" cy="577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7ADE2" w14:textId="77777777" w:rsidR="003A1C98" w:rsidRPr="003A1C98" w:rsidRDefault="003A1C98" w:rsidP="003A1C9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1C9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D23D7" wp14:editId="16F4C4AD">
                <wp:simplePos x="0" y="0"/>
                <wp:positionH relativeFrom="page">
                  <wp:posOffset>2392680</wp:posOffset>
                </wp:positionH>
                <wp:positionV relativeFrom="paragraph">
                  <wp:posOffset>3175</wp:posOffset>
                </wp:positionV>
                <wp:extent cx="3032125" cy="179705"/>
                <wp:effectExtent l="0" t="0" r="15875" b="10795"/>
                <wp:wrapNone/>
                <wp:docPr id="5" name="object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12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B023B" w14:textId="77777777" w:rsidR="003A1C98" w:rsidRPr="0062540D" w:rsidRDefault="003A1C98" w:rsidP="003A1C98">
                            <w:pPr>
                              <w:pStyle w:val="af0"/>
                              <w:spacing w:after="0" w:line="283" w:lineRule="exact"/>
                              <w:jc w:val="center"/>
                            </w:pPr>
                            <w:r w:rsidRPr="0062540D">
                              <w:rPr>
                                <w:rFonts w:eastAsia="+mn-ea"/>
                                <w:kern w:val="24"/>
                              </w:rPr>
                              <w:t>Условные обозначения: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D23D7" id="_x0000_t202" coordsize="21600,21600" o:spt="202" path="m,l,21600r21600,l21600,xe">
                <v:stroke joinstyle="miter"/>
                <v:path gradientshapeok="t" o:connecttype="rect"/>
              </v:shapetype>
              <v:shape id="object 940" o:spid="_x0000_s1026" type="#_x0000_t202" style="position:absolute;left:0;text-align:left;margin-left:188.4pt;margin-top:.25pt;width:238.7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" filled="f" stroked="f">
                <v:textbox style="mso-fit-shape-to-text:t" inset="0,0,0,0">
                  <w:txbxContent>
                    <w:p w14:paraId="081B023B" w14:textId="77777777" w:rsidR="003A1C98" w:rsidRPr="0062540D" w:rsidRDefault="003A1C98" w:rsidP="003A1C98">
                      <w:pPr>
                        <w:pStyle w:val="af0"/>
                        <w:spacing w:after="0" w:line="283" w:lineRule="exact"/>
                        <w:jc w:val="center"/>
                      </w:pPr>
                      <w:r w:rsidRPr="0062540D">
                        <w:rPr>
                          <w:rFonts w:eastAsia="+mn-ea"/>
                          <w:kern w:val="24"/>
                        </w:rPr>
                        <w:t>Условные обозначения: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466242" w14:textId="77777777" w:rsidR="003A1C98" w:rsidRPr="003A1C98" w:rsidRDefault="003A1C98" w:rsidP="003A1C98">
      <w:pPr>
        <w:ind w:right="283" w:firstLine="993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3A1C98">
        <w:rPr>
          <w:rFonts w:ascii="Times New Roman" w:eastAsia="+mn-ea" w:hAnsi="Times New Roman" w:cs="Times New Roman"/>
          <w:noProof/>
          <w:kern w:val="24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729E4F5" wp14:editId="2D41691E">
                <wp:simplePos x="0" y="0"/>
                <wp:positionH relativeFrom="column">
                  <wp:posOffset>34290</wp:posOffset>
                </wp:positionH>
                <wp:positionV relativeFrom="paragraph">
                  <wp:posOffset>88899</wp:posOffset>
                </wp:positionV>
                <wp:extent cx="485775" cy="0"/>
                <wp:effectExtent l="0" t="19050" r="952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9503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.7pt;margin-top:7pt;width:38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" strokecolor="blue" strokeweight="3pt"/>
            </w:pict>
          </mc:Fallback>
        </mc:AlternateContent>
      </w:r>
      <w:r w:rsidRPr="003A1C98">
        <w:rPr>
          <w:rFonts w:ascii="Times New Roman" w:eastAsia="+mn-ea" w:hAnsi="Times New Roman" w:cs="Times New Roman"/>
          <w:kern w:val="24"/>
          <w:sz w:val="24"/>
          <w:szCs w:val="24"/>
        </w:rPr>
        <w:t xml:space="preserve">граница территории, подлежащей комплексному развитию </w:t>
      </w:r>
    </w:p>
    <w:p w14:paraId="14346FCC" w14:textId="40252871" w:rsidR="003A1C98" w:rsidRPr="003A1C98" w:rsidRDefault="003A1C98" w:rsidP="003A1C98">
      <w:pPr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3A1C98">
        <w:rPr>
          <w:rFonts w:ascii="Times New Roman" w:eastAsia="+mn-ea" w:hAnsi="Times New Roman" w:cs="Times New Roman"/>
          <w:kern w:val="24"/>
          <w:sz w:val="24"/>
          <w:szCs w:val="24"/>
        </w:rPr>
        <w:t xml:space="preserve">Площадь территории   – </w:t>
      </w:r>
      <w:bookmarkStart w:id="1" w:name="_Hlk171417502"/>
      <w:r w:rsidRPr="00C3727B">
        <w:rPr>
          <w:rFonts w:ascii="Times New Roman" w:eastAsia="+mn-ea" w:hAnsi="Times New Roman" w:cs="Times New Roman"/>
          <w:kern w:val="24"/>
          <w:sz w:val="24"/>
          <w:szCs w:val="24"/>
        </w:rPr>
        <w:t xml:space="preserve">58 </w:t>
      </w:r>
      <w:r w:rsidR="00107C11" w:rsidRPr="00C3727B">
        <w:rPr>
          <w:rFonts w:ascii="Times New Roman" w:eastAsia="+mn-ea" w:hAnsi="Times New Roman" w:cs="Times New Roman"/>
          <w:kern w:val="24"/>
          <w:sz w:val="24"/>
          <w:szCs w:val="24"/>
        </w:rPr>
        <w:t>219</w:t>
      </w:r>
      <w:r w:rsidR="00C3727B" w:rsidRPr="00C3727B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proofErr w:type="spellStart"/>
      <w:r w:rsidR="00C3727B" w:rsidRPr="00C3727B">
        <w:rPr>
          <w:rFonts w:ascii="Times New Roman" w:eastAsia="+mn-ea" w:hAnsi="Times New Roman" w:cs="Times New Roman"/>
          <w:kern w:val="24"/>
          <w:sz w:val="24"/>
          <w:szCs w:val="24"/>
        </w:rPr>
        <w:t>кв.м</w:t>
      </w:r>
      <w:proofErr w:type="spellEnd"/>
      <w:r w:rsidR="00107C11" w:rsidRPr="00C3727B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 w:rsidRPr="003A1C98">
        <w:rPr>
          <w:rFonts w:ascii="Times New Roman" w:eastAsia="+mn-ea" w:hAnsi="Times New Roman" w:cs="Times New Roman"/>
          <w:kern w:val="24"/>
          <w:sz w:val="24"/>
          <w:szCs w:val="24"/>
        </w:rPr>
        <w:t>/ 5,8 га</w:t>
      </w:r>
      <w:bookmarkEnd w:id="1"/>
      <w:r w:rsidR="00107C11">
        <w:rPr>
          <w:rFonts w:ascii="Times New Roman" w:eastAsia="+mn-ea" w:hAnsi="Times New Roman" w:cs="Times New Roman"/>
          <w:kern w:val="24"/>
          <w:sz w:val="24"/>
          <w:szCs w:val="24"/>
        </w:rPr>
        <w:t xml:space="preserve">    </w:t>
      </w:r>
    </w:p>
    <w:p w14:paraId="49B629FC" w14:textId="38A05C85" w:rsidR="003A1C98" w:rsidRDefault="003A1C98" w:rsidP="003A1C9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1C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Каталог координат границ территории нежилой застройки, подлежащей комплексному развитию по адресу: </w:t>
      </w:r>
      <w:r w:rsidRPr="003A1C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Московская область, </w:t>
      </w:r>
      <w:r w:rsidR="000626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Сергиево-Посадский городской округ, </w:t>
      </w:r>
      <w:proofErr w:type="spellStart"/>
      <w:r w:rsidRPr="003A1C98">
        <w:rPr>
          <w:rFonts w:ascii="Times New Roman" w:eastAsia="Calibri" w:hAnsi="Times New Roman" w:cs="Times New Roman"/>
          <w:b/>
          <w:bCs/>
          <w:sz w:val="24"/>
          <w:szCs w:val="24"/>
        </w:rPr>
        <w:t>г.Сергиев</w:t>
      </w:r>
      <w:proofErr w:type="spellEnd"/>
      <w:r w:rsidRPr="003A1C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Посад, ул. Фестивальная.</w:t>
      </w:r>
    </w:p>
    <w:p w14:paraId="63006C1B" w14:textId="77777777" w:rsidR="00C3727B" w:rsidRPr="000F154C" w:rsidRDefault="00C3727B" w:rsidP="00C3727B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C757B91" w14:textId="77777777" w:rsidR="003A1C98" w:rsidRPr="003A1C98" w:rsidRDefault="003A1C98" w:rsidP="003A1C9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  <w:vertAlign w:val="subscript"/>
        </w:rPr>
      </w:pPr>
    </w:p>
    <w:tbl>
      <w:tblPr>
        <w:tblStyle w:val="25"/>
        <w:tblW w:w="5106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2044"/>
        <w:gridCol w:w="2337"/>
      </w:tblGrid>
      <w:tr w:rsidR="00C3727B" w:rsidRPr="003A1C98" w14:paraId="2A4C756C" w14:textId="77777777" w:rsidTr="00C3727B">
        <w:trPr>
          <w:trHeight w:val="300"/>
          <w:jc w:val="center"/>
        </w:trPr>
        <w:tc>
          <w:tcPr>
            <w:tcW w:w="5106" w:type="dxa"/>
            <w:gridSpan w:val="3"/>
            <w:noWrap/>
          </w:tcPr>
          <w:p w14:paraId="70954A33" w14:textId="79F71B3E" w:rsidR="00C3727B" w:rsidRPr="00C3727B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Система координат: МСК – 50 (зона 2)</w:t>
            </w:r>
          </w:p>
        </w:tc>
      </w:tr>
      <w:tr w:rsidR="00C3727B" w:rsidRPr="003A1C98" w14:paraId="4932966A" w14:textId="77777777" w:rsidTr="00C3727B">
        <w:trPr>
          <w:trHeight w:val="300"/>
          <w:jc w:val="center"/>
        </w:trPr>
        <w:tc>
          <w:tcPr>
            <w:tcW w:w="725" w:type="dxa"/>
            <w:noWrap/>
          </w:tcPr>
          <w:p w14:paraId="5241837B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381" w:type="dxa"/>
            <w:gridSpan w:val="2"/>
            <w:noWrap/>
          </w:tcPr>
          <w:p w14:paraId="365DD7F5" w14:textId="77777777" w:rsidR="00C3727B" w:rsidRPr="00C3727B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Координаты</w:t>
            </w:r>
          </w:p>
        </w:tc>
      </w:tr>
      <w:tr w:rsidR="00C3727B" w:rsidRPr="003A1C98" w14:paraId="0525E6AA" w14:textId="77777777" w:rsidTr="00C3727B">
        <w:trPr>
          <w:trHeight w:val="300"/>
          <w:jc w:val="center"/>
        </w:trPr>
        <w:tc>
          <w:tcPr>
            <w:tcW w:w="725" w:type="dxa"/>
            <w:noWrap/>
          </w:tcPr>
          <w:p w14:paraId="34C13421" w14:textId="77777777" w:rsidR="00C3727B" w:rsidRPr="00C3727B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44" w:type="dxa"/>
            <w:noWrap/>
          </w:tcPr>
          <w:p w14:paraId="72F9A4BC" w14:textId="77777777" w:rsidR="00C3727B" w:rsidRPr="00C3727B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C37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337" w:type="dxa"/>
            <w:noWrap/>
          </w:tcPr>
          <w:p w14:paraId="6E31BCD3" w14:textId="77777777" w:rsidR="00C3727B" w:rsidRPr="00C3727B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C37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Y</w:t>
            </w:r>
          </w:p>
        </w:tc>
      </w:tr>
      <w:tr w:rsidR="00C3727B" w:rsidRPr="003A1C98" w14:paraId="76C45C07" w14:textId="77777777" w:rsidTr="000F154C">
        <w:trPr>
          <w:trHeight w:val="303"/>
          <w:jc w:val="center"/>
        </w:trPr>
        <w:tc>
          <w:tcPr>
            <w:tcW w:w="725" w:type="dxa"/>
            <w:noWrap/>
            <w:hideMark/>
          </w:tcPr>
          <w:p w14:paraId="1A0EAC8D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bookmarkStart w:id="2" w:name="_Hlk171417628"/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  <w:noWrap/>
          </w:tcPr>
          <w:p w14:paraId="3FFE57D1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528449.79</w:t>
            </w:r>
          </w:p>
        </w:tc>
        <w:tc>
          <w:tcPr>
            <w:tcW w:w="2337" w:type="dxa"/>
            <w:noWrap/>
          </w:tcPr>
          <w:p w14:paraId="1B7BC86A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2230426.76    </w:t>
            </w:r>
          </w:p>
        </w:tc>
      </w:tr>
      <w:tr w:rsidR="00C3727B" w:rsidRPr="003A1C98" w14:paraId="3933124A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660B6A5B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044" w:type="dxa"/>
            <w:noWrap/>
          </w:tcPr>
          <w:p w14:paraId="5EFC21F6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528429.03</w:t>
            </w:r>
          </w:p>
        </w:tc>
        <w:tc>
          <w:tcPr>
            <w:tcW w:w="2337" w:type="dxa"/>
            <w:noWrap/>
          </w:tcPr>
          <w:p w14:paraId="09AFD2B5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2230495.16    </w:t>
            </w:r>
          </w:p>
        </w:tc>
      </w:tr>
      <w:tr w:rsidR="00C3727B" w:rsidRPr="003A1C98" w14:paraId="68F9F4DC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775184FC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044" w:type="dxa"/>
            <w:noWrap/>
          </w:tcPr>
          <w:p w14:paraId="0D67AB2A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528403.59</w:t>
            </w:r>
          </w:p>
        </w:tc>
        <w:tc>
          <w:tcPr>
            <w:tcW w:w="2337" w:type="dxa"/>
            <w:noWrap/>
          </w:tcPr>
          <w:p w14:paraId="5D1E2839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2230487.83    </w:t>
            </w:r>
          </w:p>
        </w:tc>
      </w:tr>
      <w:tr w:rsidR="00C3727B" w:rsidRPr="003A1C98" w14:paraId="39C822F4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58339A2D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044" w:type="dxa"/>
            <w:noWrap/>
          </w:tcPr>
          <w:p w14:paraId="4EAE8CA9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528389.53</w:t>
            </w:r>
          </w:p>
        </w:tc>
        <w:tc>
          <w:tcPr>
            <w:tcW w:w="2337" w:type="dxa"/>
            <w:noWrap/>
          </w:tcPr>
          <w:p w14:paraId="195700D8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2230531.53    </w:t>
            </w:r>
          </w:p>
        </w:tc>
      </w:tr>
      <w:tr w:rsidR="00C3727B" w:rsidRPr="003A1C98" w14:paraId="13C24C08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4DF1C53A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044" w:type="dxa"/>
            <w:noWrap/>
          </w:tcPr>
          <w:p w14:paraId="4F283310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528342.08</w:t>
            </w:r>
          </w:p>
        </w:tc>
        <w:tc>
          <w:tcPr>
            <w:tcW w:w="2337" w:type="dxa"/>
            <w:noWrap/>
          </w:tcPr>
          <w:p w14:paraId="543BC35B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2230517.42    </w:t>
            </w:r>
          </w:p>
        </w:tc>
      </w:tr>
      <w:tr w:rsidR="00C3727B" w:rsidRPr="003A1C98" w14:paraId="398401BA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1FEB9DCF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044" w:type="dxa"/>
            <w:noWrap/>
          </w:tcPr>
          <w:p w14:paraId="2D11CBF1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528345.97</w:t>
            </w:r>
          </w:p>
        </w:tc>
        <w:tc>
          <w:tcPr>
            <w:tcW w:w="2337" w:type="dxa"/>
            <w:noWrap/>
          </w:tcPr>
          <w:p w14:paraId="1EC9A9CE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2230504.34    </w:t>
            </w:r>
          </w:p>
        </w:tc>
      </w:tr>
      <w:tr w:rsidR="00C3727B" w:rsidRPr="003A1C98" w14:paraId="58E7574D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184317C3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044" w:type="dxa"/>
            <w:noWrap/>
          </w:tcPr>
          <w:p w14:paraId="60F3497D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528334.08</w:t>
            </w:r>
          </w:p>
        </w:tc>
        <w:tc>
          <w:tcPr>
            <w:tcW w:w="2337" w:type="dxa"/>
            <w:noWrap/>
          </w:tcPr>
          <w:p w14:paraId="70571C58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2230500.58    </w:t>
            </w:r>
          </w:p>
        </w:tc>
      </w:tr>
      <w:tr w:rsidR="00C3727B" w:rsidRPr="003A1C98" w14:paraId="5E8E340A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3E0CFE36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044" w:type="dxa"/>
            <w:noWrap/>
          </w:tcPr>
          <w:p w14:paraId="13814446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528330.33</w:t>
            </w:r>
          </w:p>
        </w:tc>
        <w:tc>
          <w:tcPr>
            <w:tcW w:w="2337" w:type="dxa"/>
            <w:noWrap/>
          </w:tcPr>
          <w:p w14:paraId="6124DF0F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2230497.93    </w:t>
            </w:r>
          </w:p>
        </w:tc>
      </w:tr>
      <w:tr w:rsidR="00C3727B" w:rsidRPr="003A1C98" w14:paraId="5325DD15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106F4B90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044" w:type="dxa"/>
            <w:noWrap/>
          </w:tcPr>
          <w:p w14:paraId="18B28451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528313.72</w:t>
            </w:r>
          </w:p>
        </w:tc>
        <w:tc>
          <w:tcPr>
            <w:tcW w:w="2337" w:type="dxa"/>
            <w:noWrap/>
          </w:tcPr>
          <w:p w14:paraId="138AE953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2230474.81    </w:t>
            </w:r>
          </w:p>
        </w:tc>
      </w:tr>
      <w:tr w:rsidR="00C3727B" w:rsidRPr="003A1C98" w14:paraId="44114CB1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6E9F56DA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044" w:type="dxa"/>
            <w:noWrap/>
          </w:tcPr>
          <w:p w14:paraId="71D3DC6F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528343.56</w:t>
            </w:r>
          </w:p>
        </w:tc>
        <w:tc>
          <w:tcPr>
            <w:tcW w:w="2337" w:type="dxa"/>
            <w:noWrap/>
          </w:tcPr>
          <w:p w14:paraId="67BC763F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2230438.16    </w:t>
            </w:r>
          </w:p>
        </w:tc>
      </w:tr>
      <w:tr w:rsidR="00C3727B" w:rsidRPr="003A1C98" w14:paraId="6B8D35AA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66B7FB2A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044" w:type="dxa"/>
            <w:noWrap/>
          </w:tcPr>
          <w:p w14:paraId="3B2B646F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528358.19</w:t>
            </w:r>
          </w:p>
        </w:tc>
        <w:tc>
          <w:tcPr>
            <w:tcW w:w="2337" w:type="dxa"/>
            <w:noWrap/>
          </w:tcPr>
          <w:p w14:paraId="0AB8B890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2230411.65    </w:t>
            </w:r>
          </w:p>
        </w:tc>
      </w:tr>
      <w:tr w:rsidR="00C3727B" w:rsidRPr="003A1C98" w14:paraId="70980423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2350B44B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044" w:type="dxa"/>
            <w:noWrap/>
          </w:tcPr>
          <w:p w14:paraId="6A216CB2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528380.36</w:t>
            </w:r>
          </w:p>
        </w:tc>
        <w:tc>
          <w:tcPr>
            <w:tcW w:w="2337" w:type="dxa"/>
            <w:noWrap/>
          </w:tcPr>
          <w:p w14:paraId="1F53E57F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2230384.98    </w:t>
            </w:r>
          </w:p>
        </w:tc>
      </w:tr>
      <w:tr w:rsidR="00C3727B" w:rsidRPr="003A1C98" w14:paraId="67F7CFBC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12E3AC1A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2044" w:type="dxa"/>
            <w:noWrap/>
          </w:tcPr>
          <w:p w14:paraId="434E1ED0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528369.69</w:t>
            </w:r>
          </w:p>
        </w:tc>
        <w:tc>
          <w:tcPr>
            <w:tcW w:w="2337" w:type="dxa"/>
            <w:noWrap/>
          </w:tcPr>
          <w:p w14:paraId="2700E256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2230374.75    </w:t>
            </w:r>
          </w:p>
        </w:tc>
      </w:tr>
      <w:tr w:rsidR="00C3727B" w:rsidRPr="003A1C98" w14:paraId="14C1E7AF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28E95EFA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044" w:type="dxa"/>
            <w:noWrap/>
          </w:tcPr>
          <w:p w14:paraId="1BED6414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528331.13</w:t>
            </w:r>
          </w:p>
        </w:tc>
        <w:tc>
          <w:tcPr>
            <w:tcW w:w="2337" w:type="dxa"/>
            <w:noWrap/>
          </w:tcPr>
          <w:p w14:paraId="7D252323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2230391.15    </w:t>
            </w:r>
          </w:p>
        </w:tc>
      </w:tr>
      <w:tr w:rsidR="00C3727B" w:rsidRPr="003A1C98" w14:paraId="6F6C18A5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6DE1E2B0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2044" w:type="dxa"/>
            <w:noWrap/>
          </w:tcPr>
          <w:p w14:paraId="0DC26A09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528292.78</w:t>
            </w:r>
          </w:p>
        </w:tc>
        <w:tc>
          <w:tcPr>
            <w:tcW w:w="2337" w:type="dxa"/>
            <w:noWrap/>
          </w:tcPr>
          <w:p w14:paraId="766A848D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2230430.34    </w:t>
            </w:r>
          </w:p>
        </w:tc>
      </w:tr>
      <w:tr w:rsidR="00C3727B" w:rsidRPr="003A1C98" w14:paraId="4233DED9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20FA62DC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044" w:type="dxa"/>
            <w:noWrap/>
          </w:tcPr>
          <w:p w14:paraId="40AF6192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528183.13</w:t>
            </w:r>
          </w:p>
        </w:tc>
        <w:tc>
          <w:tcPr>
            <w:tcW w:w="2337" w:type="dxa"/>
            <w:noWrap/>
          </w:tcPr>
          <w:p w14:paraId="233EFB1A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2230589.73    </w:t>
            </w:r>
          </w:p>
        </w:tc>
      </w:tr>
      <w:tr w:rsidR="00C3727B" w:rsidRPr="003A1C98" w14:paraId="01CBE949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5AF912D5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2044" w:type="dxa"/>
            <w:noWrap/>
          </w:tcPr>
          <w:p w14:paraId="205453B7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528250.77</w:t>
            </w:r>
          </w:p>
        </w:tc>
        <w:tc>
          <w:tcPr>
            <w:tcW w:w="2337" w:type="dxa"/>
            <w:noWrap/>
          </w:tcPr>
          <w:p w14:paraId="5E1C6141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2230581.5    </w:t>
            </w:r>
          </w:p>
        </w:tc>
      </w:tr>
      <w:tr w:rsidR="00C3727B" w:rsidRPr="003A1C98" w14:paraId="78D36A43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06C153DD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2044" w:type="dxa"/>
            <w:noWrap/>
          </w:tcPr>
          <w:p w14:paraId="41BAFD8F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528275.28</w:t>
            </w:r>
          </w:p>
        </w:tc>
        <w:tc>
          <w:tcPr>
            <w:tcW w:w="2337" w:type="dxa"/>
            <w:noWrap/>
          </w:tcPr>
          <w:p w14:paraId="3D9E313B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2230580.39    </w:t>
            </w:r>
          </w:p>
        </w:tc>
      </w:tr>
      <w:tr w:rsidR="00C3727B" w:rsidRPr="003A1C98" w14:paraId="5D125A37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61A097A1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2044" w:type="dxa"/>
            <w:noWrap/>
          </w:tcPr>
          <w:p w14:paraId="68E5EF1A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528328.28</w:t>
            </w:r>
          </w:p>
        </w:tc>
        <w:tc>
          <w:tcPr>
            <w:tcW w:w="2337" w:type="dxa"/>
            <w:noWrap/>
          </w:tcPr>
          <w:p w14:paraId="58129CB3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2230591.69    </w:t>
            </w:r>
          </w:p>
        </w:tc>
      </w:tr>
      <w:tr w:rsidR="00C3727B" w:rsidRPr="003A1C98" w14:paraId="501F5295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241BCBFF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044" w:type="dxa"/>
            <w:noWrap/>
          </w:tcPr>
          <w:p w14:paraId="596DAB36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528390.19</w:t>
            </w:r>
          </w:p>
        </w:tc>
        <w:tc>
          <w:tcPr>
            <w:tcW w:w="2337" w:type="dxa"/>
            <w:noWrap/>
          </w:tcPr>
          <w:p w14:paraId="5F4E0B96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2230613.84    </w:t>
            </w:r>
          </w:p>
        </w:tc>
      </w:tr>
      <w:tr w:rsidR="00C3727B" w:rsidRPr="003A1C98" w14:paraId="6F462066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5CAFF6D8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044" w:type="dxa"/>
            <w:noWrap/>
          </w:tcPr>
          <w:p w14:paraId="659D98B4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528477.4</w:t>
            </w:r>
          </w:p>
        </w:tc>
        <w:tc>
          <w:tcPr>
            <w:tcW w:w="2337" w:type="dxa"/>
            <w:noWrap/>
          </w:tcPr>
          <w:p w14:paraId="69F8223B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2230604.93    </w:t>
            </w:r>
          </w:p>
        </w:tc>
      </w:tr>
      <w:tr w:rsidR="00C3727B" w:rsidRPr="003A1C98" w14:paraId="0FFCCAC7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7055E9A1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044" w:type="dxa"/>
            <w:noWrap/>
          </w:tcPr>
          <w:p w14:paraId="2AF0BA01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528545.49</w:t>
            </w:r>
          </w:p>
        </w:tc>
        <w:tc>
          <w:tcPr>
            <w:tcW w:w="2337" w:type="dxa"/>
            <w:noWrap/>
          </w:tcPr>
          <w:p w14:paraId="701C7D38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2230618.48    </w:t>
            </w:r>
          </w:p>
        </w:tc>
      </w:tr>
      <w:tr w:rsidR="00C3727B" w:rsidRPr="003A1C98" w14:paraId="0D4AB17E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6FFBEA77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044" w:type="dxa"/>
            <w:noWrap/>
          </w:tcPr>
          <w:p w14:paraId="2E5EBD95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528594.94</w:t>
            </w:r>
          </w:p>
        </w:tc>
        <w:tc>
          <w:tcPr>
            <w:tcW w:w="2337" w:type="dxa"/>
            <w:noWrap/>
          </w:tcPr>
          <w:p w14:paraId="039BDBC4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2230653.64    </w:t>
            </w:r>
          </w:p>
        </w:tc>
      </w:tr>
      <w:tr w:rsidR="00C3727B" w:rsidRPr="003A1C98" w14:paraId="54A0D29C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0587E699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044" w:type="dxa"/>
            <w:noWrap/>
          </w:tcPr>
          <w:p w14:paraId="49A63B6C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528627.13</w:t>
            </w:r>
          </w:p>
        </w:tc>
        <w:tc>
          <w:tcPr>
            <w:tcW w:w="2337" w:type="dxa"/>
            <w:noWrap/>
          </w:tcPr>
          <w:p w14:paraId="09426EC9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2230705.07    </w:t>
            </w:r>
          </w:p>
        </w:tc>
      </w:tr>
      <w:tr w:rsidR="00C3727B" w:rsidRPr="003A1C98" w14:paraId="1E74AA33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38BC905A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044" w:type="dxa"/>
            <w:noWrap/>
          </w:tcPr>
          <w:p w14:paraId="34FA92D4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528644.13</w:t>
            </w:r>
          </w:p>
        </w:tc>
        <w:tc>
          <w:tcPr>
            <w:tcW w:w="2337" w:type="dxa"/>
            <w:noWrap/>
          </w:tcPr>
          <w:p w14:paraId="0BDFA975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2230761.1    </w:t>
            </w:r>
          </w:p>
        </w:tc>
      </w:tr>
      <w:tr w:rsidR="00C3727B" w:rsidRPr="003A1C98" w14:paraId="3E783301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7CB21EF2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044" w:type="dxa"/>
            <w:noWrap/>
          </w:tcPr>
          <w:p w14:paraId="585A2180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528671.92</w:t>
            </w:r>
          </w:p>
        </w:tc>
        <w:tc>
          <w:tcPr>
            <w:tcW w:w="2337" w:type="dxa"/>
            <w:noWrap/>
          </w:tcPr>
          <w:p w14:paraId="14C40172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2230608.95    </w:t>
            </w:r>
          </w:p>
        </w:tc>
      </w:tr>
      <w:tr w:rsidR="00C3727B" w:rsidRPr="003A1C98" w14:paraId="0E1D336B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244976DF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2044" w:type="dxa"/>
            <w:noWrap/>
          </w:tcPr>
          <w:p w14:paraId="316203C2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528705.68</w:t>
            </w:r>
          </w:p>
        </w:tc>
        <w:tc>
          <w:tcPr>
            <w:tcW w:w="2337" w:type="dxa"/>
            <w:noWrap/>
          </w:tcPr>
          <w:p w14:paraId="1836EC8A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2230524.74    </w:t>
            </w:r>
          </w:p>
        </w:tc>
      </w:tr>
      <w:tr w:rsidR="00C3727B" w:rsidRPr="003A1C98" w14:paraId="07580F70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114A35B7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2044" w:type="dxa"/>
            <w:noWrap/>
          </w:tcPr>
          <w:p w14:paraId="66FB568A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528687.09</w:t>
            </w:r>
          </w:p>
        </w:tc>
        <w:tc>
          <w:tcPr>
            <w:tcW w:w="2337" w:type="dxa"/>
            <w:noWrap/>
          </w:tcPr>
          <w:p w14:paraId="5333DAA7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2230511.74    </w:t>
            </w:r>
          </w:p>
        </w:tc>
      </w:tr>
      <w:tr w:rsidR="00C3727B" w:rsidRPr="003A1C98" w14:paraId="402B3AB4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5854FC33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044" w:type="dxa"/>
            <w:noWrap/>
          </w:tcPr>
          <w:p w14:paraId="4F5C196D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528649.13</w:t>
            </w:r>
          </w:p>
        </w:tc>
        <w:tc>
          <w:tcPr>
            <w:tcW w:w="2337" w:type="dxa"/>
            <w:noWrap/>
          </w:tcPr>
          <w:p w14:paraId="1B484FD4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2230498.64    </w:t>
            </w:r>
          </w:p>
        </w:tc>
      </w:tr>
      <w:tr w:rsidR="00C3727B" w:rsidRPr="003A1C98" w14:paraId="225D4A8C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5577D831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2044" w:type="dxa"/>
            <w:noWrap/>
          </w:tcPr>
          <w:p w14:paraId="71ADB09B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528632.13</w:t>
            </w:r>
          </w:p>
        </w:tc>
        <w:tc>
          <w:tcPr>
            <w:tcW w:w="2337" w:type="dxa"/>
            <w:noWrap/>
          </w:tcPr>
          <w:p w14:paraId="2F5D1E39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2230544.35    </w:t>
            </w:r>
          </w:p>
        </w:tc>
      </w:tr>
      <w:tr w:rsidR="00C3727B" w:rsidRPr="003A1C98" w14:paraId="6EFF5EDD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7001AE87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2044" w:type="dxa"/>
            <w:noWrap/>
          </w:tcPr>
          <w:p w14:paraId="0B9170CD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528609.65</w:t>
            </w:r>
          </w:p>
        </w:tc>
        <w:tc>
          <w:tcPr>
            <w:tcW w:w="2337" w:type="dxa"/>
            <w:noWrap/>
          </w:tcPr>
          <w:p w14:paraId="65A11068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2230535.99    </w:t>
            </w:r>
          </w:p>
        </w:tc>
      </w:tr>
      <w:tr w:rsidR="00C3727B" w:rsidRPr="003A1C98" w14:paraId="56F57344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55E73281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2044" w:type="dxa"/>
            <w:noWrap/>
          </w:tcPr>
          <w:p w14:paraId="21896033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528623.81</w:t>
            </w:r>
          </w:p>
        </w:tc>
        <w:tc>
          <w:tcPr>
            <w:tcW w:w="2337" w:type="dxa"/>
            <w:noWrap/>
          </w:tcPr>
          <w:p w14:paraId="2E3C3622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2230497.9    </w:t>
            </w:r>
          </w:p>
        </w:tc>
      </w:tr>
      <w:tr w:rsidR="00C3727B" w:rsidRPr="003A1C98" w14:paraId="23EE0145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2153EB65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044" w:type="dxa"/>
            <w:noWrap/>
          </w:tcPr>
          <w:p w14:paraId="2B7A468D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528609.51</w:t>
            </w:r>
          </w:p>
        </w:tc>
        <w:tc>
          <w:tcPr>
            <w:tcW w:w="2337" w:type="dxa"/>
            <w:noWrap/>
          </w:tcPr>
          <w:p w14:paraId="0CF1664B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2230492.57    </w:t>
            </w:r>
          </w:p>
        </w:tc>
      </w:tr>
      <w:tr w:rsidR="00C3727B" w:rsidRPr="003A1C98" w14:paraId="241D2D27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7CB38C7A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2044" w:type="dxa"/>
            <w:noWrap/>
          </w:tcPr>
          <w:p w14:paraId="0F21316A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528580.75</w:t>
            </w:r>
          </w:p>
        </w:tc>
        <w:tc>
          <w:tcPr>
            <w:tcW w:w="2337" w:type="dxa"/>
            <w:noWrap/>
          </w:tcPr>
          <w:p w14:paraId="07716430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2230587.01    </w:t>
            </w:r>
          </w:p>
        </w:tc>
      </w:tr>
      <w:tr w:rsidR="00C3727B" w:rsidRPr="003A1C98" w14:paraId="4FB1D6CE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0E59EEFD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2044" w:type="dxa"/>
            <w:noWrap/>
          </w:tcPr>
          <w:p w14:paraId="2B320DC5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528514.81</w:t>
            </w:r>
          </w:p>
        </w:tc>
        <w:tc>
          <w:tcPr>
            <w:tcW w:w="2337" w:type="dxa"/>
            <w:noWrap/>
          </w:tcPr>
          <w:p w14:paraId="3A46F856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2230567.05    </w:t>
            </w:r>
          </w:p>
        </w:tc>
      </w:tr>
      <w:tr w:rsidR="00C3727B" w:rsidRPr="003A1C98" w14:paraId="7AD21167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748A7553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2044" w:type="dxa"/>
            <w:noWrap/>
          </w:tcPr>
          <w:p w14:paraId="7EC3DED8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528504.69</w:t>
            </w:r>
          </w:p>
        </w:tc>
        <w:tc>
          <w:tcPr>
            <w:tcW w:w="2337" w:type="dxa"/>
            <w:noWrap/>
          </w:tcPr>
          <w:p w14:paraId="3B4901AD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2230574.05    </w:t>
            </w:r>
          </w:p>
        </w:tc>
      </w:tr>
      <w:tr w:rsidR="00C3727B" w:rsidRPr="003A1C98" w14:paraId="4B7ECF22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67F2882A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2044" w:type="dxa"/>
            <w:noWrap/>
          </w:tcPr>
          <w:p w14:paraId="5E5E94E3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528487.45</w:t>
            </w:r>
          </w:p>
        </w:tc>
        <w:tc>
          <w:tcPr>
            <w:tcW w:w="2337" w:type="dxa"/>
            <w:noWrap/>
          </w:tcPr>
          <w:p w14:paraId="6D82BC4D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2230568.41    </w:t>
            </w:r>
          </w:p>
        </w:tc>
      </w:tr>
      <w:tr w:rsidR="00C3727B" w:rsidRPr="003A1C98" w14:paraId="736A8006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5ADD1A40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2044" w:type="dxa"/>
            <w:noWrap/>
          </w:tcPr>
          <w:p w14:paraId="6F44ED5A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528522.3</w:t>
            </w:r>
          </w:p>
        </w:tc>
        <w:tc>
          <w:tcPr>
            <w:tcW w:w="2337" w:type="dxa"/>
            <w:noWrap/>
          </w:tcPr>
          <w:p w14:paraId="4252894F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2230452.7    </w:t>
            </w:r>
          </w:p>
        </w:tc>
      </w:tr>
      <w:tr w:rsidR="00C3727B" w:rsidRPr="003A1C98" w14:paraId="124B65CE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57BE6EB3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2044" w:type="dxa"/>
            <w:noWrap/>
          </w:tcPr>
          <w:p w14:paraId="3FA9A112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528516.72</w:t>
            </w:r>
          </w:p>
        </w:tc>
        <w:tc>
          <w:tcPr>
            <w:tcW w:w="2337" w:type="dxa"/>
            <w:noWrap/>
          </w:tcPr>
          <w:p w14:paraId="6994F36C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2230450.7    </w:t>
            </w:r>
          </w:p>
        </w:tc>
      </w:tr>
      <w:tr w:rsidR="00C3727B" w:rsidRPr="003A1C98" w14:paraId="331F2C17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718D5511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2044" w:type="dxa"/>
            <w:noWrap/>
          </w:tcPr>
          <w:p w14:paraId="56056715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528455.07</w:t>
            </w:r>
          </w:p>
        </w:tc>
        <w:tc>
          <w:tcPr>
            <w:tcW w:w="2337" w:type="dxa"/>
            <w:noWrap/>
          </w:tcPr>
          <w:p w14:paraId="28507EDA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2230428.66    </w:t>
            </w:r>
          </w:p>
        </w:tc>
      </w:tr>
      <w:tr w:rsidR="00C3727B" w:rsidRPr="003A1C98" w14:paraId="0035BCA8" w14:textId="77777777" w:rsidTr="00C3727B">
        <w:trPr>
          <w:trHeight w:val="300"/>
          <w:jc w:val="center"/>
        </w:trPr>
        <w:tc>
          <w:tcPr>
            <w:tcW w:w="725" w:type="dxa"/>
            <w:noWrap/>
            <w:hideMark/>
          </w:tcPr>
          <w:p w14:paraId="4DEB3F5A" w14:textId="77777777" w:rsidR="00C3727B" w:rsidRPr="003A1C98" w:rsidRDefault="00C3727B" w:rsidP="00996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A1C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2044" w:type="dxa"/>
            <w:noWrap/>
          </w:tcPr>
          <w:p w14:paraId="54EA4718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528449.79</w:t>
            </w:r>
          </w:p>
        </w:tc>
        <w:tc>
          <w:tcPr>
            <w:tcW w:w="2337" w:type="dxa"/>
            <w:noWrap/>
          </w:tcPr>
          <w:p w14:paraId="3AB65709" w14:textId="77777777" w:rsidR="00C3727B" w:rsidRPr="000F154C" w:rsidRDefault="00C3727B" w:rsidP="0099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2230426.76    </w:t>
            </w:r>
          </w:p>
        </w:tc>
      </w:tr>
    </w:tbl>
    <w:bookmarkEnd w:id="0"/>
    <w:bookmarkEnd w:id="2"/>
    <w:p w14:paraId="0F1A6B5F" w14:textId="18595589" w:rsidR="001971AF" w:rsidRPr="008F48E7" w:rsidRDefault="001971AF" w:rsidP="000F154C">
      <w:pPr>
        <w:pStyle w:val="af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Обоснование возможности осуществления комплексного развития территории, планируемый вид комплексного развития территории</w:t>
      </w:r>
    </w:p>
    <w:p w14:paraId="0395D4E9" w14:textId="77777777" w:rsidR="001971AF" w:rsidRPr="008F48E7" w:rsidRDefault="001971AF" w:rsidP="001971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5A75E" w14:textId="77777777" w:rsidR="001971AF" w:rsidRPr="008F48E7" w:rsidRDefault="001971AF" w:rsidP="001971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развитие территории нежилой застройки, расположенной по адресу: Московская область, </w:t>
      </w:r>
      <w:r w:rsidRPr="00B20423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Сергиев Посад, ул. Фестивальная</w:t>
      </w: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обосновано потребностью расселения ветхого и аварийного жилья в </w:t>
      </w:r>
      <w:r w:rsidRPr="00F802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8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8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Комплексное развитие территории нежилой застройки осуществляется в соответствии с требованиями, предусмотренными частями 4-6 статьи 65 Градостроительного кодекса Российской Федерации, а также п. 2.3 Положения о комплексном развитии территорий в Московской области, утвержденного постановлением Правительства Московской области от 26.01.2021 № 29/3, согласно соответствующим подтверждающим документам (материалам).</w:t>
      </w:r>
    </w:p>
    <w:p w14:paraId="27C287E2" w14:textId="77777777" w:rsidR="001971AF" w:rsidRPr="008F48E7" w:rsidRDefault="001971AF" w:rsidP="001971A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E3AE8F" w14:textId="2754BC85" w:rsidR="001971AF" w:rsidRPr="008F48E7" w:rsidRDefault="001971AF" w:rsidP="001971AF">
      <w:pPr>
        <w:pStyle w:val="af4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103259186"/>
      <w:r w:rsidRPr="008F48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Основные виды разрешенного использования земельных участков и объектов капитального строительства, </w:t>
      </w:r>
      <w:r w:rsidRPr="008F48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которые могут быть выбраны при реализации решения о комплексном развитии территории </w:t>
      </w:r>
      <w:bookmarkStart w:id="4" w:name="_Hlk67819341"/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нежилой застройки </w:t>
      </w:r>
      <w:bookmarkEnd w:id="4"/>
      <w:r w:rsidRPr="008F48E7">
        <w:rPr>
          <w:rFonts w:ascii="Times New Roman" w:eastAsia="Calibri" w:hAnsi="Times New Roman" w:cs="Times New Roman"/>
          <w:b/>
          <w:sz w:val="24"/>
          <w:szCs w:val="24"/>
        </w:rPr>
        <w:t>по адресу: Московская область,</w:t>
      </w:r>
      <w:r w:rsidRPr="008F48E7">
        <w:rPr>
          <w:rFonts w:ascii="Times New Roman" w:hAnsi="Times New Roman" w:cs="Times New Roman"/>
        </w:rPr>
        <w:t xml:space="preserve"> </w:t>
      </w:r>
      <w:r w:rsidR="00062690" w:rsidRPr="00062690">
        <w:rPr>
          <w:rFonts w:ascii="Times New Roman" w:hAnsi="Times New Roman" w:cs="Times New Roman"/>
          <w:b/>
          <w:sz w:val="24"/>
          <w:szCs w:val="24"/>
        </w:rPr>
        <w:t>Сергиево-Посадский городской округ,</w:t>
      </w:r>
      <w:r w:rsidR="00062690">
        <w:rPr>
          <w:rFonts w:ascii="Times New Roman" w:hAnsi="Times New Roman" w:cs="Times New Roman"/>
        </w:rPr>
        <w:t xml:space="preserve"> </w:t>
      </w:r>
      <w:r w:rsidRPr="00B20423">
        <w:rPr>
          <w:rFonts w:ascii="Times New Roman" w:eastAsia="Calibri" w:hAnsi="Times New Roman" w:cs="Times New Roman"/>
          <w:b/>
          <w:sz w:val="24"/>
          <w:szCs w:val="24"/>
        </w:rPr>
        <w:t>г. Сергиев Посад, ул. Фестивальная</w:t>
      </w:r>
    </w:p>
    <w:p w14:paraId="75AC8C65" w14:textId="77777777" w:rsidR="001971AF" w:rsidRPr="008F48E7" w:rsidRDefault="001971AF" w:rsidP="001971A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9306FC" w14:textId="342EABC8" w:rsidR="001971AF" w:rsidRPr="008F48E7" w:rsidRDefault="001971AF" w:rsidP="001971A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171418328"/>
      <w:r w:rsidRPr="008F48E7">
        <w:rPr>
          <w:rFonts w:ascii="Times New Roman" w:eastAsia="Calibri" w:hAnsi="Times New Roman" w:cs="Times New Roman"/>
          <w:b/>
          <w:sz w:val="24"/>
          <w:szCs w:val="24"/>
        </w:rPr>
        <w:t>2.1.1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 – Малоэтажная многоквартирная жилая застройка. Размещение малоэтажных многоквартирных домов (многоквартирные до</w:t>
      </w:r>
      <w:r w:rsidR="0017316D">
        <w:rPr>
          <w:rFonts w:ascii="Times New Roman" w:eastAsia="Calibri" w:hAnsi="Times New Roman" w:cs="Times New Roman"/>
          <w:sz w:val="24"/>
          <w:szCs w:val="24"/>
        </w:rPr>
        <w:t xml:space="preserve">ма высотой до 4 этажей, включая 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 </w:t>
      </w:r>
    </w:p>
    <w:p w14:paraId="5E7FDAF8" w14:textId="77777777" w:rsidR="001971AF" w:rsidRPr="008F48E7" w:rsidRDefault="001971AF" w:rsidP="001971A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2.3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 – Блокированная жилая застройка. 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отдыха.</w:t>
      </w:r>
    </w:p>
    <w:p w14:paraId="6A004BCF" w14:textId="77777777" w:rsidR="001971AF" w:rsidRPr="008F48E7" w:rsidRDefault="001971AF" w:rsidP="001971A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2.5 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spellStart"/>
      <w:r w:rsidRPr="008F48E7">
        <w:rPr>
          <w:rFonts w:ascii="Times New Roman" w:eastAsia="Calibri" w:hAnsi="Times New Roman" w:cs="Times New Roman"/>
          <w:sz w:val="24"/>
          <w:szCs w:val="24"/>
        </w:rPr>
        <w:t>Среднеэтажная</w:t>
      </w:r>
      <w:proofErr w:type="spellEnd"/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 жилая застройка. 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14:paraId="28693DBC" w14:textId="77777777" w:rsidR="001971AF" w:rsidRPr="008F48E7" w:rsidRDefault="001971AF" w:rsidP="001971A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F48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2.6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Многоэтажная жилая застройка (высотная застройка).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автостоянок;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</w:r>
    </w:p>
    <w:p w14:paraId="68722099" w14:textId="77777777" w:rsidR="001971AF" w:rsidRPr="008F48E7" w:rsidRDefault="001971AF" w:rsidP="001971A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F48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2.7 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– Обслуживание жилой застройки.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</w:t>
      </w:r>
      <w:r w:rsidRPr="008F48E7">
        <w:rPr>
          <w:rFonts w:ascii="Times New Roman" w:eastAsia="Calibri" w:hAnsi="Times New Roman" w:cs="Times New Roman"/>
          <w:sz w:val="24"/>
          <w:szCs w:val="24"/>
        </w:rPr>
        <w:lastRenderedPageBreak/>
        <w:t>не причиняет вреда окружающей среде и санитарному благополучию, не нарушает права жителей, не требует установления санитарной зоны.</w:t>
      </w:r>
    </w:p>
    <w:p w14:paraId="7D597C79" w14:textId="77777777" w:rsidR="001971AF" w:rsidRPr="008F48E7" w:rsidRDefault="001971AF" w:rsidP="001971A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2.7.1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 – Хранение автотранспорта. 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Pr="008F48E7">
        <w:rPr>
          <w:rFonts w:ascii="Times New Roman" w:eastAsia="Calibri" w:hAnsi="Times New Roman" w:cs="Times New Roman"/>
          <w:sz w:val="24"/>
          <w:szCs w:val="24"/>
        </w:rPr>
        <w:t>машино</w:t>
      </w:r>
      <w:proofErr w:type="spellEnd"/>
      <w:r w:rsidRPr="008F48E7">
        <w:rPr>
          <w:rFonts w:ascii="Times New Roman" w:eastAsia="Calibri" w:hAnsi="Times New Roman" w:cs="Times New Roman"/>
          <w:sz w:val="24"/>
          <w:szCs w:val="24"/>
        </w:rPr>
        <w:t>-места, за исключением гаражей, размещение которых предусмотрено содержанием видов разрешенного использования с кодами 2.7.2, 4.9.</w:t>
      </w:r>
    </w:p>
    <w:p w14:paraId="6D092790" w14:textId="77777777" w:rsidR="001971AF" w:rsidRPr="008F48E7" w:rsidRDefault="001971AF" w:rsidP="001971A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3.1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 – Коммунальное обслуживание. 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</w:r>
      <w:hyperlink r:id="rId9" w:history="1">
        <w:r w:rsidRPr="008F48E7">
          <w:rPr>
            <w:rFonts w:ascii="Times New Roman" w:hAnsi="Times New Roman" w:cs="Times New Roman"/>
            <w:sz w:val="24"/>
            <w:szCs w:val="24"/>
          </w:rPr>
          <w:t>кодами 3.1.1</w:t>
        </w:r>
      </w:hyperlink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hyperlink r:id="rId10" w:history="1">
        <w:r w:rsidRPr="008F48E7">
          <w:rPr>
            <w:rFonts w:ascii="Times New Roman" w:hAnsi="Times New Roman" w:cs="Times New Roman"/>
            <w:sz w:val="24"/>
            <w:szCs w:val="24"/>
          </w:rPr>
          <w:t>3.1.2</w:t>
        </w:r>
      </w:hyperlink>
      <w:r w:rsidRPr="008F48E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3FB806" w14:textId="77777777" w:rsidR="001971AF" w:rsidRPr="008F48E7" w:rsidRDefault="001971AF" w:rsidP="001971A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3.1.1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 – Предоставление коммунальных услуг. 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</w:t>
      </w:r>
      <w:proofErr w:type="gramStart"/>
      <w:r w:rsidRPr="008F48E7">
        <w:rPr>
          <w:rFonts w:ascii="Times New Roman" w:eastAsia="Calibri" w:hAnsi="Times New Roman" w:cs="Times New Roman"/>
          <w:sz w:val="24"/>
          <w:szCs w:val="24"/>
        </w:rPr>
        <w:t>мастерских для обслуживания уборочной</w:t>
      </w:r>
      <w:proofErr w:type="gramEnd"/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 и аварийной техники, сооружений, необходимых для сбора и плавки снега). </w:t>
      </w:r>
    </w:p>
    <w:p w14:paraId="0E8389A3" w14:textId="77777777" w:rsidR="001971AF" w:rsidRPr="008F48E7" w:rsidRDefault="001971AF" w:rsidP="001971A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3.1.2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 – Административные здания организаций, обеспечивающих предоставление коммунальных услуг. Размещение зданий, предназначенных для приема физических и юридических лиц в связи с предоставлением им коммунальных услуг.</w:t>
      </w:r>
    </w:p>
    <w:p w14:paraId="6743E251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3.2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 – Социальное обслуживание. 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3.2.1-3.2.4.</w:t>
      </w:r>
    </w:p>
    <w:p w14:paraId="324E2ECB" w14:textId="77777777" w:rsidR="001971AF" w:rsidRPr="008F48E7" w:rsidRDefault="001971AF" w:rsidP="001971A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3.2.1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Дома социального обслуживания. 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беженцами.</w:t>
      </w:r>
    </w:p>
    <w:p w14:paraId="7C65F4C3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3.2.2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Оказание социальной помощи населению. 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интересам.</w:t>
      </w:r>
    </w:p>
    <w:p w14:paraId="6E6BE6EE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3.2.3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Оказание услуг связи. Размещение зданий, предназначенных для размещения пунктов оказания услуг почтовой, телеграфной, междугородней и международной телефонной связи.</w:t>
      </w:r>
    </w:p>
    <w:p w14:paraId="3C872FAC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3.3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Бытовое обслуживание. 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</w:r>
    </w:p>
    <w:p w14:paraId="293CB307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3.4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Здравоохранение. 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3.4.1-3.4.2.</w:t>
      </w:r>
    </w:p>
    <w:p w14:paraId="18ACC958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3.4.1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Амбулаторно-поликлиническое обслуживание. 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лаборатории).</w:t>
      </w:r>
    </w:p>
    <w:p w14:paraId="37B4F87B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3.4.2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 – Стационарное медицинское обслуживание. Размещение объектов капитального строительства, предназначенных для оказания гражданам медицинской помощи в </w:t>
      </w:r>
      <w:r w:rsidRPr="008F48E7">
        <w:rPr>
          <w:rFonts w:ascii="Times New Roman" w:eastAsia="Calibri" w:hAnsi="Times New Roman" w:cs="Times New Roman"/>
          <w:sz w:val="24"/>
          <w:szCs w:val="24"/>
        </w:rPr>
        <w:lastRenderedPageBreak/>
        <w:t>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авиации.</w:t>
      </w:r>
    </w:p>
    <w:p w14:paraId="34AD5369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3.5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Образование и просвещение. 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кодами 3.5.1-3.5.2.</w:t>
      </w:r>
    </w:p>
    <w:p w14:paraId="7865BCFB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3.5.1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Дошкольное, начальное и среднее общее образование.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спортом.</w:t>
      </w:r>
    </w:p>
    <w:p w14:paraId="720FE137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3.5.2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Среднее и высшее профессиональное образование. 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спортом.</w:t>
      </w:r>
    </w:p>
    <w:p w14:paraId="663FFAE2" w14:textId="77777777" w:rsidR="001971AF" w:rsidRPr="008F48E7" w:rsidRDefault="001971AF" w:rsidP="001971A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3.6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Культурное развитие. 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3.6.1-3.6.3.</w:t>
      </w:r>
    </w:p>
    <w:p w14:paraId="3F888C57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3.6.1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Объекты культурно-досуговой деятельности. 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планетариев.</w:t>
      </w:r>
    </w:p>
    <w:p w14:paraId="747CB015" w14:textId="77777777" w:rsidR="001971AF" w:rsidRPr="008F48E7" w:rsidRDefault="001971AF" w:rsidP="001971AF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3.6.2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Парки культуры и отдыха. Размещение парков культуры и отдыха.</w:t>
      </w:r>
    </w:p>
    <w:p w14:paraId="6E7C0498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3.7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Религиозное использование. 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3.7.1-3.7.2.</w:t>
      </w:r>
    </w:p>
    <w:p w14:paraId="26C93BDF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3.7.1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Осуществление религиозных обрядов. 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синагоги).</w:t>
      </w:r>
    </w:p>
    <w:p w14:paraId="110AAF35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3.7.2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</w:t>
      </w: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F48E7">
        <w:rPr>
          <w:rFonts w:ascii="Times New Roman" w:eastAsia="Calibri" w:hAnsi="Times New Roman" w:cs="Times New Roman"/>
          <w:sz w:val="24"/>
          <w:szCs w:val="24"/>
        </w:rPr>
        <w:t>елигиозное управление и образование. 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училища).</w:t>
      </w:r>
    </w:p>
    <w:p w14:paraId="61F04BE2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3.8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Общественное управление. 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3.8.1-3.8.2.</w:t>
      </w:r>
    </w:p>
    <w:p w14:paraId="5A9C0FD1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3.8.1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Государственное управление. 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</w:r>
    </w:p>
    <w:p w14:paraId="3017A24A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3.8.2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Представительская деятельность. 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Федерации.</w:t>
      </w:r>
    </w:p>
    <w:p w14:paraId="15B9B0CD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3.10.1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Амбулаторное ветеринарное обслуживание. Размещение объектов капитального строительства, предназначенных для оказания ветеринарных услуг без содержания животных.</w:t>
      </w:r>
    </w:p>
    <w:p w14:paraId="0FC059A1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4.1</w:t>
      </w:r>
      <w:r w:rsidRPr="008F48E7">
        <w:rPr>
          <w:rFonts w:ascii="Times New Roman" w:eastAsia="Calibri" w:hAnsi="Times New Roman" w:cs="Times New Roman"/>
          <w:sz w:val="24"/>
          <w:szCs w:val="24"/>
        </w:rPr>
        <w:t> – </w:t>
      </w: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Деловое управление</w:t>
      </w:r>
      <w:r w:rsidRPr="008F48E7">
        <w:rPr>
          <w:rFonts w:ascii="Times New Roman" w:eastAsia="Calibri" w:hAnsi="Times New Roman" w:cs="Times New Roman"/>
          <w:sz w:val="24"/>
          <w:szCs w:val="24"/>
        </w:rPr>
        <w:t>. 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</w:r>
    </w:p>
    <w:p w14:paraId="613B2EF5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>4.2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 – Объекты торговли (торговые центры, торгово-развлекательные центры (комплексы). Размещение объектов капитального строительства, общей площадью свыше 5000 </w:t>
      </w:r>
      <w:proofErr w:type="spellStart"/>
      <w:r w:rsidRPr="008F48E7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сотрудников и посетителей торгового центра.</w:t>
      </w:r>
    </w:p>
    <w:p w14:paraId="3685530F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4.3 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– Рынки. 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</w:t>
      </w:r>
      <w:proofErr w:type="spellStart"/>
      <w:r w:rsidRPr="008F48E7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8F48E7">
        <w:rPr>
          <w:rFonts w:ascii="Times New Roman" w:eastAsia="Calibri" w:hAnsi="Times New Roman" w:cs="Times New Roman"/>
          <w:sz w:val="24"/>
          <w:szCs w:val="24"/>
        </w:rPr>
        <w:t>; размещение гаражей и (или) стоянок для автомобилей сотрудников и посетителей рынка.</w:t>
      </w:r>
    </w:p>
    <w:p w14:paraId="33D02910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4.4 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– Магазины. Размещение объектов капитального строительства, предназначенных для продажи товаров, торговая площадь которых составляет до 5000 </w:t>
      </w:r>
      <w:proofErr w:type="spellStart"/>
      <w:r w:rsidRPr="008F48E7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8F48E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C410A5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4.5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Банковская и страховая деятельность. Размещение объектов капитального строительства, предназначенных для размещения организаций, оказывающих банковские и страховые услуги.</w:t>
      </w:r>
    </w:p>
    <w:p w14:paraId="23BF6EDF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4.6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Общественное питание. Размещение объектов капитального строительства в целях устройства мест общественного питания (рестораны, кафе, столовые, закусочные, бары).</w:t>
      </w:r>
    </w:p>
    <w:p w14:paraId="020D2E31" w14:textId="77777777" w:rsidR="001971AF" w:rsidRPr="008F48E7" w:rsidRDefault="001971AF" w:rsidP="001971AF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4.7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Гостиничное обслуживание. Размещение гостиниц.</w:t>
      </w:r>
    </w:p>
    <w:p w14:paraId="4EB1C4B9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4.8.1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Развлекательные мероприятия. 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площадок.</w:t>
      </w:r>
    </w:p>
    <w:p w14:paraId="14D4CC85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4.9 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– Служебные гаражи. 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</w:t>
      </w:r>
      <w:proofErr w:type="gramStart"/>
      <w:r w:rsidRPr="008F48E7">
        <w:rPr>
          <w:rFonts w:ascii="Times New Roman" w:eastAsia="Calibri" w:hAnsi="Times New Roman" w:cs="Times New Roman"/>
          <w:sz w:val="24"/>
          <w:szCs w:val="24"/>
        </w:rPr>
        <w:t>4.0,</w:t>
      </w:r>
      <w:r w:rsidRPr="008F48E7">
        <w:rPr>
          <w:rFonts w:ascii="Times New Roman" w:eastAsia="Calibri" w:hAnsi="Times New Roman" w:cs="Times New Roman"/>
          <w:sz w:val="24"/>
          <w:szCs w:val="24"/>
        </w:rPr>
        <w:br/>
        <w:t>а</w:t>
      </w:r>
      <w:proofErr w:type="gramEnd"/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 также для стоянки и хранения транспортных средств общего пользования, в том числе в депо.</w:t>
      </w:r>
    </w:p>
    <w:p w14:paraId="42B6D698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4.9.1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Объекты дорожного сервиса. 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4.9.1.1-4.9.1.4.</w:t>
      </w:r>
    </w:p>
    <w:p w14:paraId="7B535B9C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4.9.1.1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Заправка транспортных средств. 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сервиса.</w:t>
      </w:r>
    </w:p>
    <w:p w14:paraId="47EE5A12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4.9.1.2 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– Обеспечение дорожного отдыха. Размещение зданий для предоставления гостиничных услуг в качестве дорожного сервиса (мотелей), а также размещение магазинов </w:t>
      </w:r>
      <w:r w:rsidRPr="008F48E7">
        <w:rPr>
          <w:rFonts w:ascii="Times New Roman" w:eastAsia="Calibri" w:hAnsi="Times New Roman" w:cs="Times New Roman"/>
          <w:sz w:val="24"/>
          <w:szCs w:val="24"/>
        </w:rPr>
        <w:lastRenderedPageBreak/>
        <w:t>сопутствующей торговли, зданий для организации общественного питания в качестве объектов дорожного сервиса.</w:t>
      </w:r>
    </w:p>
    <w:p w14:paraId="1E023BAF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4.9.1.3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Автомобильные мойки. Размещение автомобильных моек, а также размещение магазинов сопутствующей торговли.</w:t>
      </w:r>
    </w:p>
    <w:p w14:paraId="56B86591" w14:textId="77777777" w:rsidR="001971AF" w:rsidRPr="008F48E7" w:rsidRDefault="001971AF" w:rsidP="001971A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4.9.1.4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Ремонт автомобилей. 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торговли.</w:t>
      </w:r>
    </w:p>
    <w:p w14:paraId="7B1D3FF8" w14:textId="77777777" w:rsidR="001971AF" w:rsidRPr="008F48E7" w:rsidRDefault="001971AF" w:rsidP="00197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4.9.2 </w:t>
      </w: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Стоянка транспортных средств. Размещение стоянок (парковок) легковых автомобилей и других </w:t>
      </w:r>
      <w:proofErr w:type="spellStart"/>
      <w:r w:rsidRPr="008F48E7">
        <w:rPr>
          <w:rFonts w:ascii="Times New Roman" w:eastAsia="Calibri" w:hAnsi="Times New Roman" w:cs="Times New Roman"/>
          <w:sz w:val="24"/>
          <w:szCs w:val="24"/>
        </w:rPr>
        <w:t>мототранспортных</w:t>
      </w:r>
      <w:proofErr w:type="spellEnd"/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стоянок.</w:t>
      </w:r>
    </w:p>
    <w:p w14:paraId="2C2BF432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4.10 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spellStart"/>
      <w:r w:rsidRPr="008F48E7">
        <w:rPr>
          <w:rFonts w:ascii="Times New Roman" w:eastAsia="Calibri" w:hAnsi="Times New Roman" w:cs="Times New Roman"/>
          <w:sz w:val="24"/>
          <w:szCs w:val="24"/>
        </w:rPr>
        <w:t>Выставочно</w:t>
      </w:r>
      <w:proofErr w:type="spellEnd"/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-ярмарочная деятельность. Размещение объектов капитального строительства, сооружений, предназначенных для осуществления </w:t>
      </w:r>
      <w:proofErr w:type="spellStart"/>
      <w:r w:rsidRPr="008F48E7">
        <w:rPr>
          <w:rFonts w:ascii="Times New Roman" w:eastAsia="Calibri" w:hAnsi="Times New Roman" w:cs="Times New Roman"/>
          <w:sz w:val="24"/>
          <w:szCs w:val="24"/>
        </w:rPr>
        <w:t>выставочно</w:t>
      </w:r>
      <w:proofErr w:type="spellEnd"/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-ярмарочной и </w:t>
      </w:r>
      <w:proofErr w:type="spellStart"/>
      <w:r w:rsidRPr="008F48E7">
        <w:rPr>
          <w:rFonts w:ascii="Times New Roman" w:eastAsia="Calibri" w:hAnsi="Times New Roman" w:cs="Times New Roman"/>
          <w:sz w:val="24"/>
          <w:szCs w:val="24"/>
        </w:rPr>
        <w:t>конгрессной</w:t>
      </w:r>
      <w:proofErr w:type="spellEnd"/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мероприятий).</w:t>
      </w:r>
    </w:p>
    <w:p w14:paraId="2D43F99B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5.0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Отдых (рекреация). 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кодами 5.1-5.5.</w:t>
      </w:r>
    </w:p>
    <w:p w14:paraId="23CB882D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5.1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Спорт. 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5.1.1-5.1.7.</w:t>
      </w:r>
    </w:p>
    <w:p w14:paraId="5233EA28" w14:textId="77777777" w:rsidR="001971AF" w:rsidRPr="008F48E7" w:rsidRDefault="001971AF" w:rsidP="001971A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5.1.1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Обеспечение спортивно-зрелищных мероприятий. 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ипподромов).</w:t>
      </w:r>
    </w:p>
    <w:p w14:paraId="2CAAE922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5.1.2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Обеспечение занятий спортом в помещениях. Размещение спортивных клубов, спортивных залов, бассейнов, физкультурно-оздоровительных комплексов в зданиях и сооружениях.</w:t>
      </w:r>
    </w:p>
    <w:p w14:paraId="33BE86B5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5.1.3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Площадки для занятий спортом. Размещение площадок для занятия спортом и физкультурой на открытом воздухе (физкультурные площадки, беговые дорожки, поля для спортивной игры).</w:t>
      </w:r>
    </w:p>
    <w:p w14:paraId="2F42A0ED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5.1.4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Оборудованные площадки для занятий спортом. Размещение сооружений для занятия спортом и физкультурой на открытом воздухе (теннисные корты, автодромы, мотодромы, трамплины, спортивные стрельбища).</w:t>
      </w:r>
    </w:p>
    <w:p w14:paraId="2A246F67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5.1.5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Водный спорт. 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инвентаря).</w:t>
      </w:r>
    </w:p>
    <w:p w14:paraId="52D28AF3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5.1.7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Спортивные базы. Размещение спортивных баз и лагерей, в которых осуществляется спортивная подготовка длительно проживающих в них лиц.</w:t>
      </w:r>
    </w:p>
    <w:p w14:paraId="72295F85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5.2.1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Туристическое обслуживание. Размещение пансионатов, гостиниц, кемпингов, домов отдыха, не оказывающих услуги по лечению; размещение детских лагерей.</w:t>
      </w:r>
    </w:p>
    <w:p w14:paraId="384269F4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6.3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Легкая промышленность. 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промышленности).</w:t>
      </w:r>
    </w:p>
    <w:p w14:paraId="66E77A33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6.8 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– Связь. 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</w:t>
      </w:r>
      <w:r w:rsidRPr="008F48E7">
        <w:rPr>
          <w:rFonts w:ascii="Times New Roman" w:eastAsia="Calibri" w:hAnsi="Times New Roman" w:cs="Times New Roman"/>
          <w:sz w:val="24"/>
          <w:szCs w:val="24"/>
        </w:rPr>
        <w:lastRenderedPageBreak/>
        <w:t>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3.2.3.</w:t>
      </w:r>
    </w:p>
    <w:p w14:paraId="5947D815" w14:textId="77777777" w:rsidR="001971AF" w:rsidRPr="008F48E7" w:rsidRDefault="001971AF" w:rsidP="001971AF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7.1.1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Железнодорожные пути. Размещение железнодорожных путей.</w:t>
      </w:r>
    </w:p>
    <w:p w14:paraId="34398A80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7.1.2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Обслуживание железнодорожных перевозок. 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законами.</w:t>
      </w:r>
    </w:p>
    <w:p w14:paraId="1E83276B" w14:textId="77777777" w:rsidR="001971AF" w:rsidRPr="008F48E7" w:rsidRDefault="001971AF" w:rsidP="001971A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7.2.1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Размещение автомобильных дорог. 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движения.</w:t>
      </w:r>
    </w:p>
    <w:p w14:paraId="288C0253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7.2.2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Обслуживание перевозок пассажиров. 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7.6.</w:t>
      </w:r>
    </w:p>
    <w:p w14:paraId="1E41E473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7.2.3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Стоянки транспорта общего пользования. Размещение стоянок транспортных средств, осуществляющих перевозки людей по установленному маршруту.</w:t>
      </w:r>
    </w:p>
    <w:p w14:paraId="60E5CF64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7.5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Трубопроводный транспорт. 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трубопроводов.</w:t>
      </w:r>
    </w:p>
    <w:p w14:paraId="6B521155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8.3 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– Обеспечение внутреннего правопорядка.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8F48E7">
        <w:rPr>
          <w:rFonts w:ascii="Times New Roman" w:eastAsia="Calibri" w:hAnsi="Times New Roman" w:cs="Times New Roman"/>
          <w:sz w:val="24"/>
          <w:szCs w:val="24"/>
        </w:rPr>
        <w:t>Росгвардии</w:t>
      </w:r>
      <w:proofErr w:type="spellEnd"/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14:paraId="466FDA32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9.3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Историко-культурная деятельность. 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туризм.</w:t>
      </w:r>
    </w:p>
    <w:p w14:paraId="4C1294CB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11.0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Водные объекты. Ледники, снежники, ручьи, реки, озера, болота, территориальные моря и другие поверхностные водные объекты.</w:t>
      </w:r>
    </w:p>
    <w:p w14:paraId="7FE30769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11.2 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– Специальное пользование водными объектами. 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</w:t>
      </w:r>
      <w:r w:rsidRPr="008F48E7">
        <w:rPr>
          <w:rFonts w:ascii="Times New Roman" w:eastAsia="Calibri" w:hAnsi="Times New Roman" w:cs="Times New Roman"/>
          <w:sz w:val="24"/>
          <w:szCs w:val="24"/>
        </w:rPr>
        <w:lastRenderedPageBreak/>
        <w:t>сточных вод и (или) дренажных вод, проведение дноуглубительных, взрывных, буровых и других работ, связанных с изменением дна и берегов водных объектов).</w:t>
      </w:r>
    </w:p>
    <w:p w14:paraId="43A034EA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11.3 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– Гидротехнические сооружения. 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</w:r>
      <w:proofErr w:type="spellStart"/>
      <w:r w:rsidRPr="008F48E7">
        <w:rPr>
          <w:rFonts w:ascii="Times New Roman" w:eastAsia="Calibri" w:hAnsi="Times New Roman" w:cs="Times New Roman"/>
          <w:sz w:val="24"/>
          <w:szCs w:val="24"/>
        </w:rPr>
        <w:t>рыбозащитных</w:t>
      </w:r>
      <w:proofErr w:type="spellEnd"/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 и рыбопропускных сооружений, берегозащитных сооружений).</w:t>
      </w:r>
    </w:p>
    <w:p w14:paraId="741AD2E4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12.0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Земельные участки (территории) общего пользования. 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12.0.1-12.0.2.</w:t>
      </w:r>
    </w:p>
    <w:p w14:paraId="44196585" w14:textId="77777777" w:rsidR="001971AF" w:rsidRPr="008F48E7" w:rsidRDefault="001971AF" w:rsidP="001971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12.0.1 </w:t>
      </w:r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– Улично-дорожная сеть.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8F48E7">
        <w:rPr>
          <w:rFonts w:ascii="Times New Roman" w:eastAsia="Calibri" w:hAnsi="Times New Roman" w:cs="Times New Roman"/>
          <w:sz w:val="24"/>
          <w:szCs w:val="24"/>
        </w:rPr>
        <w:t>велотранспортной</w:t>
      </w:r>
      <w:proofErr w:type="spellEnd"/>
      <w:r w:rsidRPr="008F48E7">
        <w:rPr>
          <w:rFonts w:ascii="Times New Roman" w:eastAsia="Calibri" w:hAnsi="Times New Roman" w:cs="Times New Roman"/>
          <w:sz w:val="24"/>
          <w:szCs w:val="24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средств.</w:t>
      </w:r>
    </w:p>
    <w:p w14:paraId="1D58805A" w14:textId="77777777" w:rsidR="001971AF" w:rsidRPr="008F48E7" w:rsidRDefault="001971AF" w:rsidP="0019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12.0.2 </w:t>
      </w:r>
      <w:r w:rsidRPr="008F48E7">
        <w:rPr>
          <w:rFonts w:ascii="Times New Roman" w:eastAsia="Calibri" w:hAnsi="Times New Roman" w:cs="Times New Roman"/>
          <w:sz w:val="24"/>
          <w:szCs w:val="24"/>
        </w:rPr>
        <w:t>– Благоустройство территории.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  <w:bookmarkEnd w:id="5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3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740B8C9" w14:textId="77777777" w:rsidR="001971AF" w:rsidRPr="007C539C" w:rsidRDefault="001971AF" w:rsidP="001971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4. </w:t>
      </w:r>
      <w:r w:rsidRPr="007C539C">
        <w:rPr>
          <w:rFonts w:ascii="Times New Roman" w:eastAsia="Calibri" w:hAnsi="Times New Roman" w:cs="Times New Roman"/>
          <w:b/>
          <w:sz w:val="24"/>
          <w:szCs w:val="24"/>
        </w:rPr>
        <w:t>Сведения о наличии градостроительных ограничений и характеристики зон с особыми условиями использования территории.</w:t>
      </w:r>
    </w:p>
    <w:tbl>
      <w:tblPr>
        <w:tblStyle w:val="afc"/>
        <w:tblW w:w="9634" w:type="dxa"/>
        <w:jc w:val="center"/>
        <w:tblLook w:val="04A0" w:firstRow="1" w:lastRow="0" w:firstColumn="1" w:lastColumn="0" w:noHBand="0" w:noVBand="1"/>
      </w:tblPr>
      <w:tblGrid>
        <w:gridCol w:w="3638"/>
        <w:gridCol w:w="3638"/>
        <w:gridCol w:w="2358"/>
      </w:tblGrid>
      <w:tr w:rsidR="001971AF" w14:paraId="28C6960F" w14:textId="77777777" w:rsidTr="001971AF">
        <w:trPr>
          <w:trHeight w:val="582"/>
          <w:jc w:val="center"/>
        </w:trPr>
        <w:tc>
          <w:tcPr>
            <w:tcW w:w="3638" w:type="dxa"/>
            <w:vAlign w:val="center"/>
          </w:tcPr>
          <w:p w14:paraId="38FDEAC9" w14:textId="77777777" w:rsidR="001971AF" w:rsidRDefault="001971AF" w:rsidP="00685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Градостроительные ограничения</w:t>
            </w:r>
          </w:p>
        </w:tc>
        <w:tc>
          <w:tcPr>
            <w:tcW w:w="3638" w:type="dxa"/>
            <w:vAlign w:val="center"/>
          </w:tcPr>
          <w:p w14:paraId="0024ECDA" w14:textId="77777777" w:rsidR="001971AF" w:rsidRDefault="001971AF" w:rsidP="00685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</w:t>
            </w:r>
          </w:p>
        </w:tc>
        <w:tc>
          <w:tcPr>
            <w:tcW w:w="2358" w:type="dxa"/>
            <w:vAlign w:val="center"/>
          </w:tcPr>
          <w:p w14:paraId="239F13C8" w14:textId="77777777" w:rsidR="001971AF" w:rsidRDefault="001971AF" w:rsidP="00685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Источник информации</w:t>
            </w:r>
          </w:p>
        </w:tc>
      </w:tr>
      <w:tr w:rsidR="001971AF" w:rsidRPr="00062676" w14:paraId="63A615D5" w14:textId="77777777" w:rsidTr="001971AF">
        <w:trPr>
          <w:trHeight w:val="1057"/>
          <w:jc w:val="center"/>
        </w:trPr>
        <w:tc>
          <w:tcPr>
            <w:tcW w:w="3638" w:type="dxa"/>
          </w:tcPr>
          <w:p w14:paraId="65777A5D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Зоны с особыми условиями</w:t>
            </w:r>
          </w:p>
          <w:p w14:paraId="339E357A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использования территории:</w:t>
            </w:r>
          </w:p>
          <w:p w14:paraId="57764E2E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по сведениям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E23">
              <w:rPr>
                <w:rFonts w:ascii="Times New Roman" w:hAnsi="Times New Roman" w:cs="Times New Roman"/>
              </w:rPr>
              <w:t>Росреестра</w:t>
            </w:r>
            <w:proofErr w:type="spellEnd"/>
          </w:p>
          <w:p w14:paraId="70A211C6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1490DBAF" w14:textId="62769906" w:rsidR="001971AF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Частично расположена в </w:t>
            </w:r>
            <w:r w:rsidR="00BD7CF0">
              <w:rPr>
                <w:rFonts w:ascii="Times New Roman" w:hAnsi="Times New Roman" w:cs="Times New Roman"/>
              </w:rPr>
              <w:t xml:space="preserve">прибрежной защитной полосе </w:t>
            </w:r>
            <w:r w:rsidR="00BD7CF0">
              <w:rPr>
                <w:rFonts w:ascii="Times New Roman" w:hAnsi="Times New Roman" w:cs="Times New Roman"/>
              </w:rPr>
              <w:br/>
              <w:t>р.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Кончура</w:t>
            </w:r>
            <w:proofErr w:type="spellEnd"/>
          </w:p>
          <w:p w14:paraId="14487AB4" w14:textId="77777777" w:rsidR="001971AF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4131A0C" w14:textId="57D35BD3" w:rsidR="001971AF" w:rsidRPr="004F6E23" w:rsidRDefault="001971AF" w:rsidP="005637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Частично распо</w:t>
            </w:r>
            <w:r w:rsidR="00BD7CF0">
              <w:rPr>
                <w:rFonts w:ascii="Times New Roman" w:hAnsi="Times New Roman" w:cs="Times New Roman"/>
              </w:rPr>
              <w:t xml:space="preserve">ложена в </w:t>
            </w:r>
            <w:proofErr w:type="spellStart"/>
            <w:r w:rsidR="00BD7CF0">
              <w:rPr>
                <w:rFonts w:ascii="Times New Roman" w:hAnsi="Times New Roman" w:cs="Times New Roman"/>
              </w:rPr>
              <w:t>водоохранной</w:t>
            </w:r>
            <w:proofErr w:type="spellEnd"/>
            <w:r w:rsidR="00BD7CF0">
              <w:rPr>
                <w:rFonts w:ascii="Times New Roman" w:hAnsi="Times New Roman" w:cs="Times New Roman"/>
              </w:rPr>
              <w:t xml:space="preserve"> зоне р.</w:t>
            </w:r>
            <w:r w:rsidRPr="004F6E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E23">
              <w:rPr>
                <w:rFonts w:ascii="Times New Roman" w:hAnsi="Times New Roman" w:cs="Times New Roman"/>
              </w:rPr>
              <w:t>Кончура</w:t>
            </w:r>
            <w:proofErr w:type="spellEnd"/>
          </w:p>
          <w:p w14:paraId="7BDB2C33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3BABAC" w14:textId="77777777" w:rsidR="001971AF" w:rsidRPr="004F6E23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Частично расположена в зоне охраняемого природного ландшафта - Л объекта культурного наследия федерального значения "Архитектурный ансамбль Троице-Сергиевой Лавры в городе Сергиев Посад", XIV - середина ХХ века (Московская область, Сергиево-Посадский муниципальный район, городское поселение Сергиев Посад, г. Сергиев Посад)</w:t>
            </w:r>
          </w:p>
          <w:p w14:paraId="6635A4CC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00129B" w14:textId="315370C5" w:rsidR="001971AF" w:rsidRPr="004F6E23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Частично расположена в зоне регулирования застройки и хозяйственной деятельности – ЗРЗ-3 объекта культурного наследия федерального значения «Архитектурный ансамбль Троице-Сергиевой Лавры в городе Сергиев-Посад», XIV – середина XX века (Московская область, Сергиево-Посадский муниципальный район, городское поселение Сергиев Посад, г. Сергиев Посад)</w:t>
            </w:r>
          </w:p>
        </w:tc>
        <w:tc>
          <w:tcPr>
            <w:tcW w:w="2358" w:type="dxa"/>
            <w:shd w:val="clear" w:color="auto" w:fill="FFFFFF" w:themeFill="background1"/>
          </w:tcPr>
          <w:p w14:paraId="24D69EC0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РГИС Московской области</w:t>
            </w:r>
          </w:p>
          <w:p w14:paraId="5894E871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71AF" w:rsidRPr="004F6E23" w14:paraId="702886D8" w14:textId="77777777" w:rsidTr="001971AF">
        <w:trPr>
          <w:trHeight w:val="687"/>
          <w:jc w:val="center"/>
        </w:trPr>
        <w:tc>
          <w:tcPr>
            <w:tcW w:w="3638" w:type="dxa"/>
          </w:tcPr>
          <w:p w14:paraId="75A083F6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Зоны охраны объектов</w:t>
            </w:r>
          </w:p>
          <w:p w14:paraId="29F370AD" w14:textId="77777777" w:rsidR="001971AF" w:rsidRPr="004F6E23" w:rsidRDefault="001971AF" w:rsidP="001971AF">
            <w:pPr>
              <w:pStyle w:val="docdat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F6E23">
              <w:t>культурного наследия</w:t>
            </w:r>
          </w:p>
        </w:tc>
        <w:tc>
          <w:tcPr>
            <w:tcW w:w="3638" w:type="dxa"/>
            <w:shd w:val="clear" w:color="auto" w:fill="FFFFFF" w:themeFill="background1"/>
          </w:tcPr>
          <w:p w14:paraId="7B365D82" w14:textId="74506899" w:rsidR="001971AF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Частично расположена </w:t>
            </w:r>
            <w:r w:rsidRPr="004F6E23">
              <w:rPr>
                <w:rFonts w:ascii="Times New Roman" w:hAnsi="Times New Roman" w:cs="Times New Roman"/>
              </w:rPr>
              <w:t xml:space="preserve">в зоне охраняемого природного ландшафта объекта культурного наследия </w:t>
            </w:r>
            <w:r>
              <w:rPr>
                <w:rFonts w:ascii="Times New Roman" w:hAnsi="Times New Roman" w:cs="Times New Roman"/>
              </w:rPr>
              <w:t>«</w:t>
            </w:r>
            <w:r w:rsidRPr="00CC5551">
              <w:rPr>
                <w:rFonts w:ascii="Times New Roman" w:hAnsi="Times New Roman" w:cs="Times New Roman"/>
              </w:rPr>
              <w:t xml:space="preserve">Архитектурный ансамбль Троице-Сергиевой Лавры в городе Сергиев Посад», XIV- середина XX века» </w:t>
            </w:r>
            <w:r>
              <w:rPr>
                <w:rFonts w:ascii="Times New Roman" w:hAnsi="Times New Roman" w:cs="Times New Roman"/>
              </w:rPr>
              <w:t>участки с режимом - Л3 индекс Л</w:t>
            </w:r>
          </w:p>
          <w:p w14:paraId="6FAE3B0F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1CB1F4" w14:textId="174A61F6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Частично расположена </w:t>
            </w:r>
            <w:r w:rsidRPr="004F6E23">
              <w:rPr>
                <w:rFonts w:ascii="Times New Roman" w:hAnsi="Times New Roman" w:cs="Times New Roman"/>
              </w:rPr>
              <w:t>в зоне регулирования застройки и хозяйственной деятельности объекта культурного наследия «</w:t>
            </w:r>
            <w:r w:rsidRPr="00CC5551">
              <w:rPr>
                <w:rFonts w:ascii="Times New Roman" w:hAnsi="Times New Roman" w:cs="Times New Roman"/>
              </w:rPr>
              <w:t>Архитектурный ансамбль Троице-Сергиевой Лавры в городе Сергиев Посад», XIV- середина XX века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4F6E23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с режимом - </w:t>
            </w:r>
            <w:r w:rsidRPr="004F6E23">
              <w:rPr>
                <w:rFonts w:ascii="Times New Roman" w:hAnsi="Times New Roman" w:cs="Times New Roman"/>
              </w:rPr>
              <w:t>Р3</w:t>
            </w:r>
            <w:r>
              <w:rPr>
                <w:rFonts w:ascii="Times New Roman" w:hAnsi="Times New Roman" w:cs="Times New Roman"/>
              </w:rPr>
              <w:t>-4 индекс ЗРЗ</w:t>
            </w:r>
            <w:r w:rsidRPr="004F6E23">
              <w:rPr>
                <w:rFonts w:ascii="Times New Roman" w:hAnsi="Times New Roman" w:cs="Times New Roman"/>
              </w:rPr>
              <w:t xml:space="preserve">; </w:t>
            </w:r>
          </w:p>
          <w:p w14:paraId="09E388BA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010C0D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 xml:space="preserve">2. Частично расположена в границах территории исторического поселения </w:t>
            </w:r>
            <w:r w:rsidRPr="004F6E23">
              <w:rPr>
                <w:rFonts w:ascii="Times New Roman" w:hAnsi="Times New Roman" w:cs="Times New Roman"/>
              </w:rPr>
              <w:lastRenderedPageBreak/>
              <w:t>регионального значения «город Сергиев Посад»</w:t>
            </w:r>
          </w:p>
        </w:tc>
        <w:tc>
          <w:tcPr>
            <w:tcW w:w="2358" w:type="dxa"/>
            <w:shd w:val="clear" w:color="auto" w:fill="FFFFFF" w:themeFill="background1"/>
          </w:tcPr>
          <w:p w14:paraId="38384FAD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lastRenderedPageBreak/>
              <w:t xml:space="preserve">1. Приказ Министерства культуры РФ от 18.10.2023 N 2904 </w:t>
            </w:r>
          </w:p>
          <w:p w14:paraId="63556A8D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 xml:space="preserve">«Об утверждении границ зон охраны объекта культурного наследия федерального значения «Архитектурный ансамбль Троице-Сергиевой Лавры </w:t>
            </w:r>
          </w:p>
          <w:p w14:paraId="5EE580BB" w14:textId="77777777" w:rsidR="001971AF" w:rsidRPr="004F6E23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 xml:space="preserve">в городе Сергиев Посад», XIV - середина XX века (Московская область, Сергиево-Посадский муниципальный район, городское поселение Сергиев Посад, г. Сергиев </w:t>
            </w:r>
            <w:r w:rsidRPr="004F6E23">
              <w:rPr>
                <w:rFonts w:ascii="Times New Roman" w:hAnsi="Times New Roman" w:cs="Times New Roman"/>
              </w:rPr>
              <w:lastRenderedPageBreak/>
              <w:t>Посад), включенного в Список всемирного наследия, особых режимов использования земель и требований к градостроительным регламентам в границах территорий данных зон»</w:t>
            </w:r>
          </w:p>
          <w:p w14:paraId="25887A26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C2D313" w14:textId="77777777" w:rsidR="001971AF" w:rsidRPr="004F6E23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2. Постановление Правительства Московской области от 30.10.2023 №988-П «Об утверждении предмета охраны и границы территории исторического поселения регионального значения город Сергиев-Посад, расположенного по адресу: Московская область, Сергиево - Посадский городской округ, город Сергиев - Посад»</w:t>
            </w:r>
          </w:p>
        </w:tc>
      </w:tr>
      <w:tr w:rsidR="001971AF" w:rsidRPr="00062676" w14:paraId="726647C2" w14:textId="77777777" w:rsidTr="001971AF">
        <w:trPr>
          <w:trHeight w:val="1057"/>
          <w:jc w:val="center"/>
        </w:trPr>
        <w:tc>
          <w:tcPr>
            <w:tcW w:w="3638" w:type="dxa"/>
          </w:tcPr>
          <w:p w14:paraId="5DCA11EA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6E23">
              <w:rPr>
                <w:rFonts w:ascii="Times New Roman" w:hAnsi="Times New Roman" w:cs="Times New Roman"/>
              </w:rPr>
              <w:lastRenderedPageBreak/>
              <w:t>Водоохранная</w:t>
            </w:r>
            <w:proofErr w:type="spellEnd"/>
            <w:r w:rsidRPr="004F6E23">
              <w:rPr>
                <w:rFonts w:ascii="Times New Roman" w:hAnsi="Times New Roman" w:cs="Times New Roman"/>
              </w:rPr>
              <w:t xml:space="preserve"> зона, прибрежная защитная</w:t>
            </w:r>
          </w:p>
          <w:p w14:paraId="2C1E2B2E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полоса*</w:t>
            </w:r>
          </w:p>
          <w:p w14:paraId="1C6B5024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*</w:t>
            </w:r>
            <w:proofErr w:type="gramStart"/>
            <w:r w:rsidRPr="004F6E23">
              <w:rPr>
                <w:rFonts w:ascii="Times New Roman" w:hAnsi="Times New Roman" w:cs="Times New Roman"/>
              </w:rPr>
              <w:t>В</w:t>
            </w:r>
            <w:proofErr w:type="gramEnd"/>
            <w:r w:rsidRPr="004F6E23">
              <w:rPr>
                <w:rFonts w:ascii="Times New Roman" w:hAnsi="Times New Roman" w:cs="Times New Roman"/>
              </w:rPr>
              <w:t xml:space="preserve"> соответствии со</w:t>
            </w:r>
          </w:p>
          <w:p w14:paraId="5BEE330B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сведениями о водных</w:t>
            </w:r>
          </w:p>
          <w:p w14:paraId="5C290F27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объектах, размещёнными в</w:t>
            </w:r>
          </w:p>
          <w:p w14:paraId="2E37230F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ИСОГД Московской</w:t>
            </w:r>
          </w:p>
          <w:p w14:paraId="1448D2C4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области на основании</w:t>
            </w:r>
          </w:p>
          <w:p w14:paraId="48CA5449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данных Министерства</w:t>
            </w:r>
          </w:p>
          <w:p w14:paraId="15105F5F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экологии и</w:t>
            </w:r>
          </w:p>
          <w:p w14:paraId="302773BD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природопользования</w:t>
            </w:r>
          </w:p>
          <w:p w14:paraId="748FE449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3638" w:type="dxa"/>
            <w:shd w:val="clear" w:color="auto" w:fill="FFFFFF" w:themeFill="background1"/>
          </w:tcPr>
          <w:p w14:paraId="4F35C16D" w14:textId="004BBF39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Частично распо</w:t>
            </w:r>
            <w:r w:rsidR="00BD7CF0">
              <w:rPr>
                <w:rFonts w:ascii="Times New Roman" w:hAnsi="Times New Roman" w:cs="Times New Roman"/>
              </w:rPr>
              <w:t xml:space="preserve">ложена в </w:t>
            </w:r>
            <w:proofErr w:type="spellStart"/>
            <w:r w:rsidR="00BD7CF0">
              <w:rPr>
                <w:rFonts w:ascii="Times New Roman" w:hAnsi="Times New Roman" w:cs="Times New Roman"/>
              </w:rPr>
              <w:t>водоохранной</w:t>
            </w:r>
            <w:proofErr w:type="spellEnd"/>
            <w:r w:rsidR="00BD7CF0">
              <w:rPr>
                <w:rFonts w:ascii="Times New Roman" w:hAnsi="Times New Roman" w:cs="Times New Roman"/>
              </w:rPr>
              <w:t xml:space="preserve"> зоне р.</w:t>
            </w:r>
            <w:r w:rsidRPr="004F6E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E23">
              <w:rPr>
                <w:rFonts w:ascii="Times New Roman" w:hAnsi="Times New Roman" w:cs="Times New Roman"/>
              </w:rPr>
              <w:t>Кончура</w:t>
            </w:r>
            <w:proofErr w:type="spellEnd"/>
          </w:p>
          <w:p w14:paraId="5C4A44A5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3843D0" w14:textId="41645AC8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 xml:space="preserve">Частично расположена в </w:t>
            </w:r>
            <w:r w:rsidR="00BD7CF0">
              <w:rPr>
                <w:rFonts w:ascii="Times New Roman" w:hAnsi="Times New Roman" w:cs="Times New Roman"/>
              </w:rPr>
              <w:t>прибрежной защитной полосе р.</w:t>
            </w:r>
            <w:r w:rsidRPr="004F6E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E23">
              <w:rPr>
                <w:rFonts w:ascii="Times New Roman" w:hAnsi="Times New Roman" w:cs="Times New Roman"/>
              </w:rPr>
              <w:t>Кончура</w:t>
            </w:r>
            <w:proofErr w:type="spellEnd"/>
          </w:p>
          <w:p w14:paraId="118E3C2F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14:paraId="18A7A4B4" w14:textId="77777777" w:rsidR="001971AF" w:rsidRPr="004F6E23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ИСОГД Московской области</w:t>
            </w:r>
          </w:p>
        </w:tc>
      </w:tr>
      <w:tr w:rsidR="001971AF" w:rsidRPr="00062676" w14:paraId="5DE5CD53" w14:textId="77777777" w:rsidTr="001971AF">
        <w:trPr>
          <w:trHeight w:val="983"/>
          <w:jc w:val="center"/>
        </w:trPr>
        <w:tc>
          <w:tcPr>
            <w:tcW w:w="3638" w:type="dxa"/>
          </w:tcPr>
          <w:p w14:paraId="58DBCA6C" w14:textId="77777777" w:rsidR="001971AF" w:rsidRPr="004F6E23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Утвержденные ППТ, ПМТ</w:t>
            </w:r>
          </w:p>
        </w:tc>
        <w:tc>
          <w:tcPr>
            <w:tcW w:w="3638" w:type="dxa"/>
            <w:shd w:val="clear" w:color="auto" w:fill="FFFFFF" w:themeFill="background1"/>
          </w:tcPr>
          <w:p w14:paraId="02F16F46" w14:textId="77777777" w:rsidR="001971AF" w:rsidRPr="004F6E23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 xml:space="preserve">На рассматриваемой территории расположены в образуемые земельные участки: № 2 площадью 5370 </w:t>
            </w:r>
            <w:proofErr w:type="spellStart"/>
            <w:r w:rsidRPr="004F6E23">
              <w:rPr>
                <w:rFonts w:ascii="Times New Roman" w:hAnsi="Times New Roman" w:cs="Times New Roman"/>
              </w:rPr>
              <w:t>кв.м</w:t>
            </w:r>
            <w:proofErr w:type="spellEnd"/>
            <w:r w:rsidRPr="004F6E23">
              <w:rPr>
                <w:rFonts w:ascii="Times New Roman" w:hAnsi="Times New Roman" w:cs="Times New Roman"/>
              </w:rPr>
              <w:t xml:space="preserve"> под строительство 5-этажного 68-квартирного жилого дома; № 4 площадью 3919 </w:t>
            </w:r>
            <w:proofErr w:type="spellStart"/>
            <w:r w:rsidRPr="004F6E23">
              <w:rPr>
                <w:rFonts w:ascii="Times New Roman" w:hAnsi="Times New Roman" w:cs="Times New Roman"/>
              </w:rPr>
              <w:t>кв.м</w:t>
            </w:r>
            <w:proofErr w:type="spellEnd"/>
            <w:r w:rsidRPr="004F6E23">
              <w:rPr>
                <w:rFonts w:ascii="Times New Roman" w:hAnsi="Times New Roman" w:cs="Times New Roman"/>
              </w:rPr>
              <w:t xml:space="preserve"> под строительство 4-этажного 60-квартирного жилого дома; № 5 площадью 3657 </w:t>
            </w:r>
            <w:proofErr w:type="spellStart"/>
            <w:r w:rsidRPr="004F6E23">
              <w:rPr>
                <w:rFonts w:ascii="Times New Roman" w:hAnsi="Times New Roman" w:cs="Times New Roman"/>
              </w:rPr>
              <w:t>кв.м</w:t>
            </w:r>
            <w:proofErr w:type="spellEnd"/>
            <w:r w:rsidRPr="004F6E23">
              <w:rPr>
                <w:rFonts w:ascii="Times New Roman" w:hAnsi="Times New Roman" w:cs="Times New Roman"/>
              </w:rPr>
              <w:t xml:space="preserve"> под строительство 4-этажного 73-квартирного жилого дома; № 6 площадью 3051 </w:t>
            </w:r>
            <w:proofErr w:type="spellStart"/>
            <w:r w:rsidRPr="004F6E23">
              <w:rPr>
                <w:rFonts w:ascii="Times New Roman" w:hAnsi="Times New Roman" w:cs="Times New Roman"/>
              </w:rPr>
              <w:t>кв.м</w:t>
            </w:r>
            <w:proofErr w:type="spellEnd"/>
            <w:r w:rsidRPr="004F6E23">
              <w:rPr>
                <w:rFonts w:ascii="Times New Roman" w:hAnsi="Times New Roman" w:cs="Times New Roman"/>
              </w:rPr>
              <w:t xml:space="preserve"> под строительство 5-этажного 52-квартирного жилого дома; № 7 площадью 3625 </w:t>
            </w:r>
            <w:proofErr w:type="spellStart"/>
            <w:r w:rsidRPr="004F6E23">
              <w:rPr>
                <w:rFonts w:ascii="Times New Roman" w:hAnsi="Times New Roman" w:cs="Times New Roman"/>
              </w:rPr>
              <w:t>кв.м</w:t>
            </w:r>
            <w:proofErr w:type="spellEnd"/>
            <w:r w:rsidRPr="004F6E23">
              <w:rPr>
                <w:rFonts w:ascii="Times New Roman" w:hAnsi="Times New Roman" w:cs="Times New Roman"/>
              </w:rPr>
              <w:t xml:space="preserve"> под строительство 4-этажного 40-квартирного жилого дома; № 8 </w:t>
            </w:r>
            <w:r w:rsidRPr="004F6E23">
              <w:rPr>
                <w:rFonts w:ascii="Times New Roman" w:hAnsi="Times New Roman" w:cs="Times New Roman"/>
              </w:rPr>
              <w:lastRenderedPageBreak/>
              <w:t xml:space="preserve">площадью 2958 </w:t>
            </w:r>
            <w:proofErr w:type="spellStart"/>
            <w:r w:rsidRPr="004F6E23">
              <w:rPr>
                <w:rFonts w:ascii="Times New Roman" w:hAnsi="Times New Roman" w:cs="Times New Roman"/>
              </w:rPr>
              <w:t>кв.м</w:t>
            </w:r>
            <w:proofErr w:type="spellEnd"/>
            <w:r w:rsidRPr="004F6E23">
              <w:rPr>
                <w:rFonts w:ascii="Times New Roman" w:hAnsi="Times New Roman" w:cs="Times New Roman"/>
              </w:rPr>
              <w:t xml:space="preserve"> под строительство 3-этажного 24-квартирного жилого дома; № 9 площадью 2861 </w:t>
            </w:r>
            <w:proofErr w:type="spellStart"/>
            <w:r w:rsidRPr="004F6E23">
              <w:rPr>
                <w:rFonts w:ascii="Times New Roman" w:hAnsi="Times New Roman" w:cs="Times New Roman"/>
              </w:rPr>
              <w:t>кв.м</w:t>
            </w:r>
            <w:proofErr w:type="spellEnd"/>
            <w:r w:rsidRPr="004F6E23">
              <w:rPr>
                <w:rFonts w:ascii="Times New Roman" w:hAnsi="Times New Roman" w:cs="Times New Roman"/>
              </w:rPr>
              <w:t xml:space="preserve"> под строительство 3-этажного 24-квартирного жилого дома; № 10 площадью 2616 </w:t>
            </w:r>
            <w:proofErr w:type="spellStart"/>
            <w:r w:rsidRPr="004F6E23">
              <w:rPr>
                <w:rFonts w:ascii="Times New Roman" w:hAnsi="Times New Roman" w:cs="Times New Roman"/>
              </w:rPr>
              <w:t>кв.м</w:t>
            </w:r>
            <w:proofErr w:type="spellEnd"/>
            <w:r w:rsidRPr="004F6E23">
              <w:rPr>
                <w:rFonts w:ascii="Times New Roman" w:hAnsi="Times New Roman" w:cs="Times New Roman"/>
              </w:rPr>
              <w:t xml:space="preserve"> под строительство 3-этажного 12-квартирного жилого дома; № 11 площадью 1857 </w:t>
            </w:r>
            <w:proofErr w:type="spellStart"/>
            <w:r w:rsidRPr="004F6E23">
              <w:rPr>
                <w:rFonts w:ascii="Times New Roman" w:hAnsi="Times New Roman" w:cs="Times New Roman"/>
              </w:rPr>
              <w:t>кв.м</w:t>
            </w:r>
            <w:proofErr w:type="spellEnd"/>
            <w:r w:rsidRPr="004F6E23">
              <w:rPr>
                <w:rFonts w:ascii="Times New Roman" w:hAnsi="Times New Roman" w:cs="Times New Roman"/>
              </w:rPr>
              <w:t xml:space="preserve"> под строительство 3-этажного 6-квартирного жилого дома; № 12 площадью 1366 </w:t>
            </w:r>
            <w:proofErr w:type="spellStart"/>
            <w:r w:rsidRPr="004F6E23">
              <w:rPr>
                <w:rFonts w:ascii="Times New Roman" w:hAnsi="Times New Roman" w:cs="Times New Roman"/>
              </w:rPr>
              <w:t>кв.м</w:t>
            </w:r>
            <w:proofErr w:type="spellEnd"/>
            <w:r w:rsidRPr="004F6E23">
              <w:rPr>
                <w:rFonts w:ascii="Times New Roman" w:hAnsi="Times New Roman" w:cs="Times New Roman"/>
              </w:rPr>
              <w:t xml:space="preserve"> под строительство очистных сооружений дождевых стоков и КНС;№ 13 площадью 9731 </w:t>
            </w:r>
            <w:proofErr w:type="spellStart"/>
            <w:r w:rsidRPr="004F6E23">
              <w:rPr>
                <w:rFonts w:ascii="Times New Roman" w:hAnsi="Times New Roman" w:cs="Times New Roman"/>
              </w:rPr>
              <w:t>кв.м</w:t>
            </w:r>
            <w:proofErr w:type="spellEnd"/>
            <w:r w:rsidRPr="004F6E23">
              <w:rPr>
                <w:rFonts w:ascii="Times New Roman" w:hAnsi="Times New Roman" w:cs="Times New Roman"/>
              </w:rPr>
              <w:t xml:space="preserve"> под строительство детского сада; № 14 под строительство трансформаторной подстанции; № 15 под строительство распределительного пункта и ТП; № 16 площадью 1366 </w:t>
            </w:r>
            <w:proofErr w:type="spellStart"/>
            <w:r w:rsidRPr="004F6E23">
              <w:rPr>
                <w:rFonts w:ascii="Times New Roman" w:hAnsi="Times New Roman" w:cs="Times New Roman"/>
              </w:rPr>
              <w:t>кв.м</w:t>
            </w:r>
            <w:proofErr w:type="spellEnd"/>
            <w:r w:rsidRPr="004F6E23">
              <w:rPr>
                <w:rFonts w:ascii="Times New Roman" w:hAnsi="Times New Roman" w:cs="Times New Roman"/>
              </w:rPr>
              <w:t xml:space="preserve"> под строительство КНС; № 17 площадью 6298 </w:t>
            </w:r>
            <w:proofErr w:type="spellStart"/>
            <w:r w:rsidRPr="004F6E23">
              <w:rPr>
                <w:rFonts w:ascii="Times New Roman" w:hAnsi="Times New Roman" w:cs="Times New Roman"/>
              </w:rPr>
              <w:t>кв.м</w:t>
            </w:r>
            <w:proofErr w:type="spellEnd"/>
            <w:r w:rsidRPr="004F6E23">
              <w:rPr>
                <w:rFonts w:ascii="Times New Roman" w:hAnsi="Times New Roman" w:cs="Times New Roman"/>
              </w:rPr>
              <w:t xml:space="preserve"> под строительство плоскостных спортивных сооружений; з/у без номера для общего пользования (дороги, проезды)</w:t>
            </w:r>
          </w:p>
          <w:p w14:paraId="03468256" w14:textId="77777777" w:rsidR="001971AF" w:rsidRPr="004F6E23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Частично расположена в границах красных линий и в линиях отступа от красных линий.</w:t>
            </w:r>
          </w:p>
        </w:tc>
        <w:tc>
          <w:tcPr>
            <w:tcW w:w="2358" w:type="dxa"/>
            <w:shd w:val="clear" w:color="auto" w:fill="FFFFFF" w:themeFill="background1"/>
          </w:tcPr>
          <w:p w14:paraId="4302CFAC" w14:textId="0FC80023" w:rsidR="001971AF" w:rsidRPr="004F6E23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lastRenderedPageBreak/>
              <w:t xml:space="preserve">Проект планировки и проект межевания территории размещения жилого комплекса по ул. Фестивальной в городе Сергиев Посад Московской области, утвержденный постановлением администрации города Сергиев Посад Сергиево-Посадского муниципального района Московской области от 07.10.2011 № 770-п </w:t>
            </w:r>
            <w:r w:rsidRPr="004F6E23">
              <w:rPr>
                <w:rFonts w:ascii="Times New Roman" w:hAnsi="Times New Roman" w:cs="Times New Roman"/>
                <w:b/>
              </w:rPr>
              <w:t xml:space="preserve">(отменен в </w:t>
            </w:r>
            <w:r w:rsidRPr="004F6E23">
              <w:rPr>
                <w:rFonts w:ascii="Times New Roman" w:hAnsi="Times New Roman" w:cs="Times New Roman"/>
                <w:b/>
              </w:rPr>
              <w:lastRenderedPageBreak/>
              <w:t>части</w:t>
            </w:r>
            <w:r w:rsidR="00042DAD">
              <w:rPr>
                <w:rFonts w:ascii="Times New Roman" w:hAnsi="Times New Roman" w:cs="Times New Roman"/>
                <w:b/>
              </w:rPr>
              <w:t xml:space="preserve"> утверждения</w:t>
            </w:r>
            <w:r w:rsidRPr="004F6E23">
              <w:rPr>
                <w:rFonts w:ascii="Times New Roman" w:hAnsi="Times New Roman" w:cs="Times New Roman"/>
                <w:b/>
              </w:rPr>
              <w:t xml:space="preserve"> ППТ</w:t>
            </w:r>
            <w:r>
              <w:rPr>
                <w:rFonts w:ascii="Times New Roman" w:hAnsi="Times New Roman" w:cs="Times New Roman"/>
                <w:b/>
              </w:rPr>
              <w:t xml:space="preserve"> постановлением администрации Сергиево-Посадского муниципального района Московской области от 07.10.2019 № 1676-ПГ</w:t>
            </w:r>
            <w:r w:rsidRPr="004F6E2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971AF" w:rsidRPr="00062676" w14:paraId="420217C4" w14:textId="77777777" w:rsidTr="001971AF">
        <w:trPr>
          <w:trHeight w:val="1057"/>
          <w:jc w:val="center"/>
        </w:trPr>
        <w:tc>
          <w:tcPr>
            <w:tcW w:w="3638" w:type="dxa"/>
          </w:tcPr>
          <w:p w14:paraId="5402C52A" w14:textId="77777777" w:rsidR="001971AF" w:rsidRPr="004F6E23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6E23">
              <w:rPr>
                <w:rFonts w:ascii="Times New Roman" w:hAnsi="Times New Roman" w:cs="Times New Roman"/>
                <w:color w:val="000000"/>
              </w:rPr>
              <w:lastRenderedPageBreak/>
              <w:t>Объекты местного значения</w:t>
            </w:r>
          </w:p>
          <w:p w14:paraId="0952B833" w14:textId="77777777" w:rsidR="001971AF" w:rsidRPr="004F6E23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45712B22" w14:textId="4039689E" w:rsidR="001971AF" w:rsidRPr="004F6E23" w:rsidRDefault="002B642C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расположено</w:t>
            </w:r>
            <w:r w:rsidR="001971AF" w:rsidRPr="004F6E23">
              <w:rPr>
                <w:rFonts w:ascii="Times New Roman" w:hAnsi="Times New Roman" w:cs="Times New Roman"/>
              </w:rPr>
              <w:t xml:space="preserve"> планируемое ДОУ (встроено -пристроенные помещения) на 80 мест</w:t>
            </w:r>
          </w:p>
        </w:tc>
        <w:tc>
          <w:tcPr>
            <w:tcW w:w="2358" w:type="dxa"/>
            <w:shd w:val="clear" w:color="auto" w:fill="FFFFFF" w:themeFill="background1"/>
          </w:tcPr>
          <w:p w14:paraId="21909072" w14:textId="77777777" w:rsidR="001971AF" w:rsidRPr="004F6E23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 xml:space="preserve">Генеральный план Сергиево-Посадского городского округа Московской области, утвержденный решением Совета депутатов Сергиево-Посадского городского округа Московской области </w:t>
            </w:r>
            <w:r w:rsidRPr="004F6E23">
              <w:rPr>
                <w:rFonts w:ascii="Times New Roman" w:hAnsi="Times New Roman" w:cs="Times New Roman"/>
              </w:rPr>
              <w:br/>
              <w:t xml:space="preserve">от 01.07.2021 № 38/01-МЗ </w:t>
            </w:r>
            <w:r w:rsidRPr="00834302">
              <w:rPr>
                <w:rFonts w:ascii="Times New Roman" w:hAnsi="Times New Roman" w:cs="Times New Roman"/>
              </w:rPr>
              <w:t>(редакция от 27.01.2023 № 61/01-МЗ)</w:t>
            </w:r>
          </w:p>
        </w:tc>
      </w:tr>
      <w:tr w:rsidR="001971AF" w:rsidRPr="00062676" w14:paraId="4B67168E" w14:textId="77777777" w:rsidTr="001971AF">
        <w:trPr>
          <w:trHeight w:val="1057"/>
          <w:jc w:val="center"/>
        </w:trPr>
        <w:tc>
          <w:tcPr>
            <w:tcW w:w="3638" w:type="dxa"/>
          </w:tcPr>
          <w:p w14:paraId="65569670" w14:textId="77777777" w:rsidR="001971AF" w:rsidRPr="004F6E23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Иные зоны с особыми</w:t>
            </w:r>
          </w:p>
          <w:p w14:paraId="45D63788" w14:textId="77777777" w:rsidR="001971AF" w:rsidRPr="004F6E23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условиями использования</w:t>
            </w:r>
          </w:p>
          <w:p w14:paraId="461D2503" w14:textId="77777777" w:rsidR="001971AF" w:rsidRPr="004F6E23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>территорий</w:t>
            </w:r>
          </w:p>
        </w:tc>
        <w:tc>
          <w:tcPr>
            <w:tcW w:w="3638" w:type="dxa"/>
            <w:shd w:val="clear" w:color="auto" w:fill="FFFFFF" w:themeFill="background1"/>
          </w:tcPr>
          <w:p w14:paraId="6721BE4D" w14:textId="77777777" w:rsidR="001971AF" w:rsidRPr="004F6E23" w:rsidRDefault="001971AF" w:rsidP="005B112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4F6E23">
              <w:rPr>
                <w:sz w:val="22"/>
                <w:szCs w:val="22"/>
              </w:rPr>
              <w:t>Частично расположена в границах особо охраняемой природной</w:t>
            </w:r>
          </w:p>
          <w:p w14:paraId="148E847D" w14:textId="77777777" w:rsidR="001971AF" w:rsidRPr="004F6E23" w:rsidRDefault="001971AF" w:rsidP="005B1128">
            <w:pPr>
              <w:pStyle w:val="Default"/>
              <w:jc w:val="both"/>
              <w:rPr>
                <w:sz w:val="22"/>
                <w:szCs w:val="22"/>
              </w:rPr>
            </w:pPr>
            <w:r w:rsidRPr="004F6E23">
              <w:rPr>
                <w:sz w:val="22"/>
                <w:szCs w:val="22"/>
              </w:rPr>
              <w:t>территории муниципального значения -</w:t>
            </w:r>
          </w:p>
          <w:p w14:paraId="3A7D7432" w14:textId="77777777" w:rsidR="001971AF" w:rsidRDefault="001971AF" w:rsidP="005B1128">
            <w:pPr>
              <w:pStyle w:val="Default"/>
              <w:jc w:val="both"/>
              <w:rPr>
                <w:sz w:val="22"/>
                <w:szCs w:val="22"/>
              </w:rPr>
            </w:pPr>
            <w:r w:rsidRPr="004F6E23">
              <w:rPr>
                <w:sz w:val="22"/>
                <w:szCs w:val="22"/>
              </w:rPr>
              <w:t>природный комплекс «Островок»</w:t>
            </w:r>
          </w:p>
          <w:p w14:paraId="79DF7242" w14:textId="77777777" w:rsidR="001971AF" w:rsidRDefault="001971AF" w:rsidP="005B112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C2F54DA" w14:textId="77777777" w:rsidR="001971AF" w:rsidRDefault="001971AF" w:rsidP="005B112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ED6E0E0" w14:textId="77777777" w:rsidR="001971AF" w:rsidRDefault="001971AF" w:rsidP="005B112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47DB542" w14:textId="77777777" w:rsidR="001971AF" w:rsidRDefault="001971AF" w:rsidP="005B112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59F948B" w14:textId="77777777" w:rsidR="001971AF" w:rsidRDefault="001971AF" w:rsidP="005B112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4B33EDC" w14:textId="77777777" w:rsidR="005B1128" w:rsidRDefault="005B1128" w:rsidP="005B112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75241DB" w14:textId="77777777" w:rsidR="005B1128" w:rsidRDefault="005B1128" w:rsidP="005B112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1B99A2" w14:textId="77777777" w:rsidR="005B1128" w:rsidRDefault="005B1128" w:rsidP="005B112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30C8D14" w14:textId="77777777" w:rsidR="005B1128" w:rsidRDefault="005B1128" w:rsidP="005B112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0D7E2B6" w14:textId="77777777" w:rsidR="005B1128" w:rsidRDefault="005B1128" w:rsidP="005B112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F626043" w14:textId="35214126" w:rsidR="001971AF" w:rsidRPr="004F6E23" w:rsidRDefault="001971AF" w:rsidP="005B112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На рассматриваемой территории расположены объекты незавершенного строительств – 6 шт. (</w:t>
            </w:r>
            <w:r w:rsidRPr="00E04AF0">
              <w:rPr>
                <w:sz w:val="22"/>
                <w:szCs w:val="22"/>
              </w:rPr>
              <w:t>Инв.№: 99</w:t>
            </w:r>
            <w:r>
              <w:rPr>
                <w:sz w:val="22"/>
                <w:szCs w:val="22"/>
              </w:rPr>
              <w:t>64. Недостроенные объекты с исходно-разрешительной документацией).</w:t>
            </w:r>
          </w:p>
        </w:tc>
        <w:tc>
          <w:tcPr>
            <w:tcW w:w="2358" w:type="dxa"/>
            <w:shd w:val="clear" w:color="auto" w:fill="FFFFFF" w:themeFill="background1"/>
          </w:tcPr>
          <w:p w14:paraId="5C13D87C" w14:textId="77777777" w:rsidR="001971AF" w:rsidRPr="004F6E23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4F6E23">
              <w:rPr>
                <w:rFonts w:ascii="Times New Roman" w:hAnsi="Times New Roman" w:cs="Times New Roman"/>
              </w:rPr>
              <w:t xml:space="preserve">Генеральный план Сергиево-Посадского городского округа Московской области, утвержденный решением Совета депутатов Сергиево-Посадского городского округа Московской области </w:t>
            </w:r>
          </w:p>
          <w:p w14:paraId="0064E757" w14:textId="77777777" w:rsidR="001971AF" w:rsidRPr="00834302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6E23">
              <w:rPr>
                <w:rFonts w:ascii="Times New Roman" w:hAnsi="Times New Roman" w:cs="Times New Roman"/>
              </w:rPr>
              <w:t xml:space="preserve">от 01.07.2021 № 38/01-МЗ </w:t>
            </w:r>
            <w:r w:rsidRPr="00834302">
              <w:rPr>
                <w:rFonts w:ascii="Times New Roman" w:hAnsi="Times New Roman" w:cs="Times New Roman"/>
              </w:rPr>
              <w:t xml:space="preserve">(редакция от </w:t>
            </w:r>
            <w:r w:rsidRPr="00834302">
              <w:rPr>
                <w:rFonts w:ascii="Times New Roman" w:hAnsi="Times New Roman" w:cs="Times New Roman"/>
              </w:rPr>
              <w:lastRenderedPageBreak/>
              <w:t>27.01.2023 № 61/01-МЗ)</w:t>
            </w:r>
          </w:p>
          <w:p w14:paraId="3A0BA35D" w14:textId="77777777" w:rsidR="001971AF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B86E773" w14:textId="77777777" w:rsidR="001971AF" w:rsidRDefault="001971AF" w:rsidP="00637E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4F6E23">
              <w:rPr>
                <w:rFonts w:ascii="Times New Roman" w:hAnsi="Times New Roman" w:cs="Times New Roman"/>
              </w:rPr>
              <w:t>ИСОГД Московской области</w:t>
            </w:r>
          </w:p>
          <w:p w14:paraId="316A05A3" w14:textId="77777777" w:rsidR="001971AF" w:rsidRPr="004F6E23" w:rsidRDefault="001971AF" w:rsidP="005B1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71AF" w:rsidRPr="00062676" w14:paraId="417A800E" w14:textId="77777777" w:rsidTr="001971AF">
        <w:trPr>
          <w:trHeight w:val="748"/>
          <w:jc w:val="center"/>
        </w:trPr>
        <w:tc>
          <w:tcPr>
            <w:tcW w:w="9634" w:type="dxa"/>
            <w:gridSpan w:val="3"/>
          </w:tcPr>
          <w:p w14:paraId="4CD92558" w14:textId="77777777" w:rsidR="001971AF" w:rsidRPr="00062676" w:rsidRDefault="001971AF" w:rsidP="00197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676">
              <w:rPr>
                <w:rFonts w:ascii="Times New Roman" w:hAnsi="Times New Roman" w:cs="Times New Roman"/>
              </w:rPr>
              <w:lastRenderedPageBreak/>
              <w:t>Подготовлено на основании информации из утвержденных документов территориального планирования, градостроительного зонирования, а также государственных информационных систем, содержащих сведения, предоставленные уполномоченными органами. Информация актуальна на дату подготовки.</w:t>
            </w:r>
          </w:p>
        </w:tc>
      </w:tr>
    </w:tbl>
    <w:p w14:paraId="138F5FD2" w14:textId="77777777" w:rsidR="001971AF" w:rsidRDefault="001971AF" w:rsidP="001971AF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555A04D" w14:textId="77777777" w:rsidR="003A4A22" w:rsidRPr="008F48E7" w:rsidRDefault="003A4A22" w:rsidP="001971AF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E5BC0BE" w14:textId="6546E971" w:rsidR="001971AF" w:rsidRPr="008F48E7" w:rsidRDefault="001971AF" w:rsidP="001971AF">
      <w:pPr>
        <w:pStyle w:val="af4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Предельный срок реализации решения о комплексном развитии территории нежилой застройки по адресу:</w:t>
      </w:r>
      <w:r w:rsidRPr="008F48E7">
        <w:rPr>
          <w:rFonts w:ascii="Times New Roman" w:hAnsi="Times New Roman" w:cs="Times New Roman"/>
        </w:rPr>
        <w:t xml:space="preserve"> </w:t>
      </w:r>
      <w:bookmarkStart w:id="6" w:name="_Hlk164958711"/>
      <w:r w:rsidRPr="008F4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Московская область,</w:t>
      </w:r>
      <w:r w:rsidR="00062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Сергиево-Посадский городской округ,</w:t>
      </w:r>
      <w:r w:rsidRPr="008F4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6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г. </w:t>
      </w:r>
      <w:r w:rsidRPr="00B20423">
        <w:rPr>
          <w:rFonts w:ascii="Times New Roman" w:eastAsia="Calibri" w:hAnsi="Times New Roman" w:cs="Times New Roman"/>
          <w:b/>
          <w:bCs/>
          <w:sz w:val="24"/>
          <w:szCs w:val="24"/>
        </w:rPr>
        <w:t>Сергиев Посад, ул.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B20423">
        <w:rPr>
          <w:rFonts w:ascii="Times New Roman" w:eastAsia="Calibri" w:hAnsi="Times New Roman" w:cs="Times New Roman"/>
          <w:b/>
          <w:bCs/>
          <w:sz w:val="24"/>
          <w:szCs w:val="24"/>
        </w:rPr>
        <w:t>Фестивальная</w:t>
      </w:r>
      <w:r w:rsidR="00307E3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0FE47D7" w14:textId="5D35E126" w:rsidR="001971AF" w:rsidRPr="008F48E7" w:rsidRDefault="001971AF" w:rsidP="001971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Предельный срок реализации решения о комплексном развитии территории нежилой застройки обусловлен этапами строительства многоквартирных жилых домов с обеспечением социальной и транспортной инфраструктуры, и последующим расселением ветхого и аварийного жилого фонда, расположенного в границах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Сергиев Посад</w:t>
      </w: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2473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8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16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4736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B8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7" w:name="_Hlk103259218"/>
      <w:r w:rsidR="002473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16BEAC" w14:textId="77777777" w:rsidR="001971AF" w:rsidRDefault="001971AF" w:rsidP="001971AF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5D056E" w14:textId="77777777" w:rsidR="003A4A22" w:rsidRPr="008F48E7" w:rsidRDefault="003A4A22" w:rsidP="001971AF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9DB5D5" w14:textId="0A36CCBE" w:rsidR="001971AF" w:rsidRPr="008F48E7" w:rsidRDefault="001971AF" w:rsidP="001971AF">
      <w:pPr>
        <w:pStyle w:val="af4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48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Предельные параметры разрешенного строительства, реконструкции объектов капитального строительства в границах территории нежилой застройки </w:t>
      </w:r>
      <w:r w:rsidRPr="008F48E7">
        <w:rPr>
          <w:rFonts w:ascii="Times New Roman" w:eastAsia="Calibri" w:hAnsi="Times New Roman" w:cs="Times New Roman"/>
          <w:b/>
          <w:sz w:val="24"/>
          <w:szCs w:val="24"/>
        </w:rPr>
        <w:t>по адресу</w:t>
      </w:r>
      <w:r w:rsidR="0006269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8F48E7">
        <w:rPr>
          <w:rFonts w:ascii="Times New Roman" w:eastAsia="Calibri" w:hAnsi="Times New Roman" w:cs="Times New Roman"/>
          <w:b/>
          <w:sz w:val="24"/>
          <w:szCs w:val="24"/>
        </w:rPr>
        <w:t xml:space="preserve"> Московская область, </w:t>
      </w:r>
      <w:r w:rsidR="00062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Сергиево-Посадский городской округ,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г. </w:t>
      </w:r>
      <w:r w:rsidRPr="00B20423">
        <w:rPr>
          <w:rFonts w:ascii="Times New Roman" w:eastAsia="Calibri" w:hAnsi="Times New Roman" w:cs="Times New Roman"/>
          <w:b/>
          <w:bCs/>
          <w:sz w:val="24"/>
          <w:szCs w:val="24"/>
        </w:rPr>
        <w:t>Сергиев Посад, ул.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20423">
        <w:rPr>
          <w:rFonts w:ascii="Times New Roman" w:eastAsia="Calibri" w:hAnsi="Times New Roman" w:cs="Times New Roman"/>
          <w:b/>
          <w:bCs/>
          <w:sz w:val="24"/>
          <w:szCs w:val="24"/>
        </w:rPr>
        <w:t>Фестивальная</w:t>
      </w:r>
    </w:p>
    <w:p w14:paraId="5DF25AD6" w14:textId="77777777" w:rsidR="003A4A22" w:rsidRDefault="003A4A22" w:rsidP="001971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93B53" w14:textId="77777777" w:rsidR="003A4A22" w:rsidRPr="008F48E7" w:rsidRDefault="003A4A22" w:rsidP="003A4A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Квартальная плотность застройки жилыми домами, не более – 25 тыс. </w:t>
      </w:r>
      <w:proofErr w:type="spellStart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га.</w:t>
      </w:r>
    </w:p>
    <w:p w14:paraId="4EB5E858" w14:textId="77777777" w:rsidR="003A4A22" w:rsidRPr="008F48E7" w:rsidRDefault="003A4A22" w:rsidP="003A4A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квартир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14,5</w:t>
      </w: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</w:t>
      </w:r>
      <w:proofErr w:type="spellStart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9F684A" w14:textId="77777777" w:rsidR="003A4A22" w:rsidRPr="008F48E7" w:rsidRDefault="003A4A22" w:rsidP="003A4A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Минимальная обеспеченность местами в дошкольных образовательных организациях – 65 мест на 1000 жителей. </w:t>
      </w:r>
    </w:p>
    <w:p w14:paraId="05709D14" w14:textId="77777777" w:rsidR="003A4A22" w:rsidRPr="00E25340" w:rsidRDefault="003A4A22" w:rsidP="003A4A22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340">
        <w:rPr>
          <w:rFonts w:ascii="Times New Roman" w:eastAsia="Times New Roman" w:hAnsi="Times New Roman"/>
          <w:sz w:val="24"/>
          <w:szCs w:val="24"/>
          <w:lang w:eastAsia="ru-RU"/>
        </w:rPr>
        <w:t>Минимальная обеспеченность местами в образовательных организациях – 135 мест на 1000 жителей.</w:t>
      </w:r>
    </w:p>
    <w:p w14:paraId="4C46B29A" w14:textId="77777777" w:rsidR="003A4A22" w:rsidRPr="008F48E7" w:rsidRDefault="003A4A22" w:rsidP="003A4A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 обеспеченность поликлиниками – 17,75 пос./смену на 1000 жителей.</w:t>
      </w:r>
    </w:p>
    <w:p w14:paraId="4F3E8979" w14:textId="77777777" w:rsidR="003A4A22" w:rsidRPr="008F48E7" w:rsidRDefault="003A4A22" w:rsidP="003A4A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</w:t>
      </w:r>
      <w:proofErr w:type="spellStart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машиномест</w:t>
      </w:r>
      <w:proofErr w:type="spellEnd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постоянного, временного хранения и </w:t>
      </w:r>
      <w:proofErr w:type="spellStart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приобъектных</w:t>
      </w:r>
      <w:proofErr w:type="spellEnd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стоянок в соответствии с региональными нормами градостроительного проектирования Московской области (от уровня автомобилизации – 356 м/м 1000 жителей).</w:t>
      </w:r>
    </w:p>
    <w:p w14:paraId="41182642" w14:textId="1087D062" w:rsidR="002B642C" w:rsidRPr="00637E2C" w:rsidRDefault="003A4A22" w:rsidP="003A4A22">
      <w:pPr>
        <w:tabs>
          <w:tab w:val="left" w:pos="567"/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77B8D" w:rsidRPr="00637E2C">
        <w:rPr>
          <w:rFonts w:ascii="Times New Roman" w:hAnsi="Times New Roman"/>
          <w:sz w:val="24"/>
          <w:szCs w:val="24"/>
        </w:rPr>
        <w:t>П</w:t>
      </w:r>
      <w:r w:rsidRPr="00637E2C">
        <w:rPr>
          <w:rFonts w:ascii="Times New Roman" w:hAnsi="Times New Roman"/>
          <w:sz w:val="24"/>
          <w:szCs w:val="24"/>
        </w:rPr>
        <w:t xml:space="preserve">редельная </w:t>
      </w:r>
      <w:r w:rsidR="00B9662D" w:rsidRPr="00637E2C">
        <w:rPr>
          <w:rFonts w:ascii="Times New Roman" w:hAnsi="Times New Roman"/>
          <w:sz w:val="24"/>
          <w:szCs w:val="24"/>
        </w:rPr>
        <w:t>этажность -</w:t>
      </w:r>
      <w:r w:rsidR="002B642C" w:rsidRPr="00637E2C">
        <w:rPr>
          <w:rFonts w:ascii="Times New Roman" w:hAnsi="Times New Roman"/>
          <w:sz w:val="24"/>
          <w:szCs w:val="24"/>
        </w:rPr>
        <w:t xml:space="preserve"> 2–4 этажа;</w:t>
      </w:r>
    </w:p>
    <w:p w14:paraId="5749BD5F" w14:textId="7390DBD0" w:rsidR="00B9662D" w:rsidRPr="00637E2C" w:rsidRDefault="00177B8D" w:rsidP="002B642C">
      <w:pPr>
        <w:tabs>
          <w:tab w:val="left" w:pos="675"/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7E2C">
        <w:rPr>
          <w:rFonts w:ascii="Times New Roman" w:hAnsi="Times New Roman"/>
          <w:sz w:val="24"/>
          <w:szCs w:val="24"/>
        </w:rPr>
        <w:t>П</w:t>
      </w:r>
      <w:r w:rsidR="00B9662D" w:rsidRPr="00637E2C">
        <w:rPr>
          <w:rFonts w:ascii="Times New Roman" w:hAnsi="Times New Roman"/>
          <w:sz w:val="24"/>
          <w:szCs w:val="24"/>
        </w:rPr>
        <w:t xml:space="preserve">редельная высотность </w:t>
      </w:r>
      <w:r w:rsidR="00B808C5" w:rsidRPr="00637E2C">
        <w:rPr>
          <w:rFonts w:ascii="Times New Roman" w:hAnsi="Times New Roman"/>
          <w:sz w:val="24"/>
          <w:szCs w:val="24"/>
        </w:rPr>
        <w:t>–</w:t>
      </w:r>
      <w:r w:rsidR="0028125F" w:rsidRPr="00637E2C">
        <w:rPr>
          <w:rFonts w:ascii="Times New Roman" w:hAnsi="Times New Roman"/>
          <w:sz w:val="24"/>
          <w:szCs w:val="24"/>
        </w:rPr>
        <w:t xml:space="preserve"> </w:t>
      </w:r>
      <w:r w:rsidR="00B808C5" w:rsidRPr="00637E2C">
        <w:rPr>
          <w:rFonts w:ascii="Times New Roman" w:hAnsi="Times New Roman"/>
          <w:sz w:val="24"/>
          <w:szCs w:val="24"/>
        </w:rPr>
        <w:t>не более 15 м до конька кровли.</w:t>
      </w:r>
    </w:p>
    <w:p w14:paraId="030B5E87" w14:textId="77777777" w:rsidR="003A4A22" w:rsidRDefault="003A4A22" w:rsidP="002B642C">
      <w:pPr>
        <w:tabs>
          <w:tab w:val="left" w:pos="675"/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1B51115" w14:textId="77777777" w:rsidR="003A4A22" w:rsidRPr="002B642C" w:rsidRDefault="003A4A22" w:rsidP="002B642C">
      <w:pPr>
        <w:tabs>
          <w:tab w:val="left" w:pos="675"/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017D72E" w14:textId="77777777" w:rsidR="001971AF" w:rsidRPr="008F48E7" w:rsidRDefault="001971AF" w:rsidP="001971AF">
      <w:pPr>
        <w:pStyle w:val="af4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Hlk103261059"/>
      <w:bookmarkEnd w:id="7"/>
      <w:r w:rsidRPr="008F4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Обязательство по объему расселению ветхого и аварийного жилья на территории муниципального образования</w:t>
      </w:r>
    </w:p>
    <w:p w14:paraId="3DA6D85A" w14:textId="781F31CD" w:rsidR="001971AF" w:rsidRDefault="001971AF" w:rsidP="001971A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Pr="00637E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514B" w:rsidRPr="006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,1 </w:t>
      </w:r>
      <w:r w:rsidRPr="006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B808C5" w:rsidRPr="00637E2C">
        <w:rPr>
          <w:rFonts w:ascii="Times New Roman" w:eastAsia="Times New Roman" w:hAnsi="Times New Roman" w:cs="Times New Roman"/>
          <w:sz w:val="24"/>
          <w:szCs w:val="24"/>
          <w:lang w:eastAsia="ru-RU"/>
        </w:rPr>
        <w:t>(163</w:t>
      </w:r>
      <w:r w:rsidR="008C779C" w:rsidRPr="006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808C5" w:rsidRPr="00637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B808C5" w:rsidRPr="00637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общей площади квартир, что обосновано потребностью </w:t>
      </w:r>
      <w:r w:rsidR="00563741" w:rsidRPr="0004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 расселении ветхого и аварийного жилого фонда.</w:t>
      </w:r>
    </w:p>
    <w:p w14:paraId="7BC392C1" w14:textId="77777777" w:rsidR="00E0514B" w:rsidRPr="008F48E7" w:rsidRDefault="00E0514B" w:rsidP="001971A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6C9F7" w14:textId="77777777" w:rsidR="001971AF" w:rsidRPr="008F48E7" w:rsidRDefault="001971AF" w:rsidP="001971A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8"/>
    <w:p w14:paraId="193ED755" w14:textId="77777777" w:rsidR="001971AF" w:rsidRPr="008F48E7" w:rsidRDefault="001971AF" w:rsidP="001971AF">
      <w:pPr>
        <w:pStyle w:val="af4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по обеспечению мероприятий, направленных на формирование комфортной городской среды для создания благоприятных условий </w:t>
      </w:r>
      <w:r w:rsidRPr="008F4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проживания граждан, обновления среды жизнедеятельности и территорий общего пользования городских округов Московской области</w:t>
      </w:r>
    </w:p>
    <w:p w14:paraId="1AD7A01D" w14:textId="77777777" w:rsidR="001971AF" w:rsidRPr="008F48E7" w:rsidRDefault="001971AF" w:rsidP="001971AF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Для территорий комплексного развития вне зависимости от их площади:</w:t>
      </w:r>
    </w:p>
    <w:p w14:paraId="5D262FE8" w14:textId="77777777" w:rsidR="001971AF" w:rsidRPr="008F48E7" w:rsidRDefault="001971AF" w:rsidP="001971AF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комфорт территорий зданий (групп зданий) жилого назначения должен соответствовать требованиям к комфортности проживания на территории Московской области, установленным постановлением Правительства Московской области от 01.06.2021 № 435/18 «Об утверждении стандартов жилого помещения и комфортности проживания на территории Московской области»;</w:t>
      </w:r>
    </w:p>
    <w:p w14:paraId="1D08BA0A" w14:textId="77777777" w:rsidR="001971AF" w:rsidRPr="008F48E7" w:rsidRDefault="001971AF" w:rsidP="001971AF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приоритете рекомендуется ограничивать в отношении территории зданий (групп зданий) жилого назначения движение автотранспорта, за исключением автомобилей специальных служб, а также автомобилей, управляемых инвалидами или перевозящих инвалидов и иные маломобильные группы населения;</w:t>
      </w:r>
    </w:p>
    <w:p w14:paraId="72D5D48A" w14:textId="4F1344D5" w:rsidR="001971AF" w:rsidRPr="008F48E7" w:rsidRDefault="001971AF" w:rsidP="001971AF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территории здания (группы зданий) жилого назначения и смежной озелененной территории общего пользования (при необходимости) должен быть обеспечен нормируемый (обязательный) комплекс объектов благоустройства и элементов благоустройства (далее - нормируемый комплекс благоустройства), нормируемый (обязательный) состав которых подлежит обеспечению в соответствии с требованиями </w:t>
      </w:r>
      <w:hyperlink r:id="rId11" w:history="1">
        <w:r w:rsidRPr="008F48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A94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№ 191/2014-ОЗ «О регулировании дополнительных вопросов в сфере благоустройства</w:t>
      </w:r>
      <w:r w:rsidR="00A94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Московской области».</w:t>
      </w:r>
    </w:p>
    <w:p w14:paraId="1047BA35" w14:textId="77777777" w:rsidR="001971AF" w:rsidRPr="008F48E7" w:rsidRDefault="001971AF" w:rsidP="001971AF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Дополнительно для территорий комплексного развития от 5 до 10 га необходимо предусматривать:</w:t>
      </w:r>
    </w:p>
    <w:p w14:paraId="2ABF3156" w14:textId="77777777" w:rsidR="001971AF" w:rsidRPr="008F48E7" w:rsidRDefault="001971AF" w:rsidP="001971AF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пешеходные коммуникации (тротуары, пешеходные дорожки и аллеи) шириной не менее 2,0 м с твердым покрытием, обеспечивающие непрерывные безопасные пути пешеходного движения, в том числе для маломобильных групп населения: </w:t>
      </w:r>
    </w:p>
    <w:p w14:paraId="03D47EEC" w14:textId="77777777" w:rsidR="001971AF" w:rsidRPr="008F48E7" w:rsidRDefault="001971AF" w:rsidP="001971AF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входных групп жилых зданий до пешеходных переходов, остановок общественного транспорта на территориях общего пользования, озелененной общественной территории, территорий открытых автостоянок и иных мест хранения индивидуального автомобильного транспорта, а также объектов социальной инфраструктуры, расположенных на расстоянии 500 м; </w:t>
      </w:r>
    </w:p>
    <w:p w14:paraId="0A15CC93" w14:textId="77777777" w:rsidR="001971AF" w:rsidRPr="008F48E7" w:rsidRDefault="001971AF" w:rsidP="001971AF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входных групп общественных зданий до входных групп жилых зданий, пешеходных переходов, остановок общественного транспорта на территориях общего пользования, озелененной общественной территории, территорий открытых автостоянок и иных мест хранения индивидуального автомобильного транспорта; </w:t>
      </w:r>
    </w:p>
    <w:p w14:paraId="0155D6A8" w14:textId="77777777" w:rsidR="001971AF" w:rsidRPr="008F48E7" w:rsidRDefault="001971AF" w:rsidP="001971AF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входными группами жилых зданий, между входными группами общественных зданий; </w:t>
      </w:r>
    </w:p>
    <w:p w14:paraId="5518A7CC" w14:textId="77777777" w:rsidR="001971AF" w:rsidRPr="008F48E7" w:rsidRDefault="001971AF" w:rsidP="001971AF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инфраструктуру для велосипедного движения (</w:t>
      </w:r>
      <w:proofErr w:type="spellStart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велопешеходные</w:t>
      </w:r>
      <w:proofErr w:type="spellEnd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дорожки общей шириной не менее 4,5 м, состоящие из велосипедных дорожек шириной не менее 1,5 м, пешеходных дорожек (тротуаров) шириной не менее 2,0 м и буферной полосы озеленения между ними шириной не менее 1,0 м, и </w:t>
      </w:r>
      <w:proofErr w:type="spellStart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двухполосные</w:t>
      </w:r>
      <w:proofErr w:type="spellEnd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велосипедные дорожки шириной не менее 3,0 м, велосипедные парковки (стоянки) из расчета не менее 1 </w:t>
      </w:r>
      <w:proofErr w:type="spellStart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веломеста</w:t>
      </w:r>
      <w:proofErr w:type="spellEnd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10% от численности расчетного населения), обеспечивающую непрерывные безопасные пути движения велосипедистов по территориям общего пользования: </w:t>
      </w:r>
    </w:p>
    <w:p w14:paraId="2DEA22DD" w14:textId="77777777" w:rsidR="001971AF" w:rsidRPr="008F48E7" w:rsidRDefault="001971AF" w:rsidP="001971AF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велопешеходную</w:t>
      </w:r>
      <w:proofErr w:type="spellEnd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дорожку вокруг или внутри каждого жилого квартала или территории зданий (групп зданий) жилого назначения (параметры, а также трассировка велодорожек и </w:t>
      </w:r>
      <w:proofErr w:type="spellStart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велопешеходных</w:t>
      </w:r>
      <w:proofErr w:type="spellEnd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дорожек могут быть уточнены в процессе подготовки документации по планировке территории и/или проектной документации); </w:t>
      </w:r>
    </w:p>
    <w:p w14:paraId="0A4850DB" w14:textId="77777777" w:rsidR="001971AF" w:rsidRPr="008F48E7" w:rsidRDefault="001971AF" w:rsidP="001971AF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целевой </w:t>
      </w:r>
      <w:proofErr w:type="spellStart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веломаршрут</w:t>
      </w:r>
      <w:proofErr w:type="spellEnd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обеспечением доступа к территориям общего пользования, предназначенным для прогулок, отдыха, развлечений населения, в том числе площадям, пешеходным улицам, набережным, береговым полосам водных объектов, скверам, бульварам, зонам отдыха, иным общественным территориям, остановкам общественного транспорта, транспортно-пересадочным узлам, железнодорожным станциям протяженностью не менее 1 км, к зданиям торгового, культурно-досугового, спортивного и иного общественного назначения, расположенным на расстоянии до 500 м; </w:t>
      </w:r>
    </w:p>
    <w:p w14:paraId="13528980" w14:textId="77777777" w:rsidR="001971AF" w:rsidRPr="008F48E7" w:rsidRDefault="001971AF" w:rsidP="001971AF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расположении существующих велосипедных дорожек (полос) на расстоянии 0,2 км дополнительно участок велосипедной дорожки до примыкания к существующей; </w:t>
      </w:r>
    </w:p>
    <w:p w14:paraId="60719FDB" w14:textId="77777777" w:rsidR="001971AF" w:rsidRPr="008F48E7" w:rsidRDefault="001971AF" w:rsidP="001971AF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пешеходную улицу или бульвар с размещением в </w:t>
      </w:r>
      <w:proofErr w:type="spellStart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спортивных площадок общего доступа.</w:t>
      </w:r>
    </w:p>
    <w:p w14:paraId="020E82C8" w14:textId="77777777" w:rsidR="001971AF" w:rsidRPr="008F48E7" w:rsidRDefault="001971AF" w:rsidP="001971AF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Для всех видов объектов обслуживания жилой застройки при размещении их во встроенных, встроенно-пристроенных, пристроенных помещениях жилых зданий необходимо выполнение требований СП 54.13330 2022 и СанПиН 2.1.3684-21.</w:t>
      </w:r>
    </w:p>
    <w:p w14:paraId="01BBED8E" w14:textId="77777777" w:rsidR="001971AF" w:rsidRPr="008F48E7" w:rsidRDefault="001971AF" w:rsidP="001971AF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обеспечения территории комплексного развития за счет существующих объектов (по согласованию с органами местного самоуправления) необходимо обеспечить территориальную доступность таких объектов с организацией улично-дорожной сети, велосипедных маршрутов и пешеходных коммуникаций. </w:t>
      </w:r>
    </w:p>
    <w:p w14:paraId="5897E5AF" w14:textId="4711C0B3" w:rsidR="002673E8" w:rsidRDefault="002673E8" w:rsidP="001971AF">
      <w:pPr>
        <w:pStyle w:val="af4"/>
        <w:spacing w:after="0" w:line="240" w:lineRule="auto"/>
        <w:jc w:val="center"/>
        <w:rPr>
          <w:b/>
          <w:bCs/>
        </w:rPr>
      </w:pPr>
    </w:p>
    <w:sectPr w:rsidR="002673E8" w:rsidSect="00C807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0" w:bottom="851" w:left="1701" w:header="454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BBE1F" w14:textId="77777777" w:rsidR="00DA14D1" w:rsidRDefault="00DA14D1">
      <w:pPr>
        <w:spacing w:after="0" w:line="240" w:lineRule="auto"/>
      </w:pPr>
      <w:r>
        <w:separator/>
      </w:r>
    </w:p>
  </w:endnote>
  <w:endnote w:type="continuationSeparator" w:id="0">
    <w:p w14:paraId="30C76EC5" w14:textId="77777777" w:rsidR="00DA14D1" w:rsidRDefault="00DA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2E8EA" w14:textId="77777777" w:rsidR="00C807F0" w:rsidRDefault="00C807F0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6D02B" w14:textId="77777777" w:rsidR="00C807F0" w:rsidRDefault="00C807F0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56587" w14:textId="77777777" w:rsidR="00C807F0" w:rsidRDefault="00C807F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27797" w14:textId="77777777" w:rsidR="00DA14D1" w:rsidRDefault="00DA14D1">
      <w:pPr>
        <w:spacing w:after="0" w:line="240" w:lineRule="auto"/>
      </w:pPr>
      <w:r>
        <w:separator/>
      </w:r>
    </w:p>
  </w:footnote>
  <w:footnote w:type="continuationSeparator" w:id="0">
    <w:p w14:paraId="05314FE5" w14:textId="77777777" w:rsidR="00DA14D1" w:rsidRDefault="00DA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6E223" w14:textId="77777777" w:rsidR="00C807F0" w:rsidRDefault="00C807F0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3734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3CDA59" w14:textId="7BFA5477" w:rsidR="0088408B" w:rsidRPr="0088408B" w:rsidRDefault="0088408B">
        <w:pPr>
          <w:pStyle w:val="af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840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40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840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07F0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8840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D18BB0" w14:textId="77777777" w:rsidR="0088408B" w:rsidRDefault="0088408B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05253"/>
      <w:docPartObj>
        <w:docPartGallery w:val="Page Numbers (Top of Page)"/>
        <w:docPartUnique/>
      </w:docPartObj>
    </w:sdtPr>
    <w:sdtContent>
      <w:bookmarkStart w:id="9" w:name="_GoBack" w:displacedByCustomXml="prev"/>
      <w:bookmarkEnd w:id="9" w:displacedByCustomXml="prev"/>
      <w:p w14:paraId="33F1B7EA" w14:textId="5E3DA71D" w:rsidR="00C807F0" w:rsidRDefault="00C807F0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A57C4F0" w14:textId="77777777" w:rsidR="00C807F0" w:rsidRDefault="00C807F0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6048C"/>
    <w:multiLevelType w:val="hybridMultilevel"/>
    <w:tmpl w:val="218086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06A7"/>
    <w:multiLevelType w:val="multilevel"/>
    <w:tmpl w:val="D4D47F22"/>
    <w:lvl w:ilvl="0">
      <w:start w:val="1"/>
      <w:numFmt w:val="decimal"/>
      <w:lvlText w:val="%1."/>
      <w:lvlJc w:val="left"/>
      <w:pPr>
        <w:ind w:left="815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2" w15:restartNumberingAfterBreak="0">
    <w:nsid w:val="1B3278F0"/>
    <w:multiLevelType w:val="multilevel"/>
    <w:tmpl w:val="D10C5EAA"/>
    <w:lvl w:ilvl="0">
      <w:start w:val="1"/>
      <w:numFmt w:val="decimal"/>
      <w:lvlText w:val="%1."/>
      <w:lvlJc w:val="left"/>
      <w:pPr>
        <w:ind w:left="815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3" w15:restartNumberingAfterBreak="0">
    <w:nsid w:val="22177F90"/>
    <w:multiLevelType w:val="hybridMultilevel"/>
    <w:tmpl w:val="17521C7A"/>
    <w:lvl w:ilvl="0" w:tplc="E3108E4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948CA80">
      <w:start w:val="1"/>
      <w:numFmt w:val="lowerLetter"/>
      <w:lvlText w:val="%2."/>
      <w:lvlJc w:val="left"/>
      <w:pPr>
        <w:ind w:left="1931" w:hanging="360"/>
      </w:pPr>
    </w:lvl>
    <w:lvl w:ilvl="2" w:tplc="3C84E40A">
      <w:start w:val="1"/>
      <w:numFmt w:val="lowerRoman"/>
      <w:lvlText w:val="%3."/>
      <w:lvlJc w:val="right"/>
      <w:pPr>
        <w:ind w:left="2651" w:hanging="180"/>
      </w:pPr>
    </w:lvl>
    <w:lvl w:ilvl="3" w:tplc="030427B2">
      <w:start w:val="1"/>
      <w:numFmt w:val="decimal"/>
      <w:lvlText w:val="%4."/>
      <w:lvlJc w:val="left"/>
      <w:pPr>
        <w:ind w:left="3371" w:hanging="360"/>
      </w:pPr>
    </w:lvl>
    <w:lvl w:ilvl="4" w:tplc="37B0BCD4">
      <w:start w:val="1"/>
      <w:numFmt w:val="lowerLetter"/>
      <w:lvlText w:val="%5."/>
      <w:lvlJc w:val="left"/>
      <w:pPr>
        <w:ind w:left="4091" w:hanging="360"/>
      </w:pPr>
    </w:lvl>
    <w:lvl w:ilvl="5" w:tplc="88D85BEC">
      <w:start w:val="1"/>
      <w:numFmt w:val="lowerRoman"/>
      <w:lvlText w:val="%6."/>
      <w:lvlJc w:val="right"/>
      <w:pPr>
        <w:ind w:left="4811" w:hanging="180"/>
      </w:pPr>
    </w:lvl>
    <w:lvl w:ilvl="6" w:tplc="0AE8CC3E">
      <w:start w:val="1"/>
      <w:numFmt w:val="decimal"/>
      <w:lvlText w:val="%7."/>
      <w:lvlJc w:val="left"/>
      <w:pPr>
        <w:ind w:left="5531" w:hanging="360"/>
      </w:pPr>
    </w:lvl>
    <w:lvl w:ilvl="7" w:tplc="DA30188C">
      <w:start w:val="1"/>
      <w:numFmt w:val="lowerLetter"/>
      <w:lvlText w:val="%8."/>
      <w:lvlJc w:val="left"/>
      <w:pPr>
        <w:ind w:left="6251" w:hanging="360"/>
      </w:pPr>
    </w:lvl>
    <w:lvl w:ilvl="8" w:tplc="2EF86F02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DD573BA"/>
    <w:multiLevelType w:val="hybridMultilevel"/>
    <w:tmpl w:val="DAA8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C5B20"/>
    <w:multiLevelType w:val="hybridMultilevel"/>
    <w:tmpl w:val="256635E8"/>
    <w:lvl w:ilvl="0" w:tplc="59F6846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1DC9B06">
      <w:start w:val="1"/>
      <w:numFmt w:val="lowerLetter"/>
      <w:lvlText w:val="%2."/>
      <w:lvlJc w:val="left"/>
      <w:pPr>
        <w:ind w:left="1931" w:hanging="360"/>
      </w:pPr>
    </w:lvl>
    <w:lvl w:ilvl="2" w:tplc="E240506A">
      <w:start w:val="1"/>
      <w:numFmt w:val="lowerRoman"/>
      <w:lvlText w:val="%3."/>
      <w:lvlJc w:val="right"/>
      <w:pPr>
        <w:ind w:left="2651" w:hanging="180"/>
      </w:pPr>
    </w:lvl>
    <w:lvl w:ilvl="3" w:tplc="523E8D14">
      <w:start w:val="1"/>
      <w:numFmt w:val="decimal"/>
      <w:lvlText w:val="%4."/>
      <w:lvlJc w:val="left"/>
      <w:pPr>
        <w:ind w:left="3371" w:hanging="360"/>
      </w:pPr>
    </w:lvl>
    <w:lvl w:ilvl="4" w:tplc="AAE2278C">
      <w:start w:val="1"/>
      <w:numFmt w:val="lowerLetter"/>
      <w:lvlText w:val="%5."/>
      <w:lvlJc w:val="left"/>
      <w:pPr>
        <w:ind w:left="4091" w:hanging="360"/>
      </w:pPr>
    </w:lvl>
    <w:lvl w:ilvl="5" w:tplc="80441570">
      <w:start w:val="1"/>
      <w:numFmt w:val="lowerRoman"/>
      <w:lvlText w:val="%6."/>
      <w:lvlJc w:val="right"/>
      <w:pPr>
        <w:ind w:left="4811" w:hanging="180"/>
      </w:pPr>
    </w:lvl>
    <w:lvl w:ilvl="6" w:tplc="E208E552">
      <w:start w:val="1"/>
      <w:numFmt w:val="decimal"/>
      <w:lvlText w:val="%7."/>
      <w:lvlJc w:val="left"/>
      <w:pPr>
        <w:ind w:left="5531" w:hanging="360"/>
      </w:pPr>
    </w:lvl>
    <w:lvl w:ilvl="7" w:tplc="1F207172">
      <w:start w:val="1"/>
      <w:numFmt w:val="lowerLetter"/>
      <w:lvlText w:val="%8."/>
      <w:lvlJc w:val="left"/>
      <w:pPr>
        <w:ind w:left="6251" w:hanging="360"/>
      </w:pPr>
    </w:lvl>
    <w:lvl w:ilvl="8" w:tplc="BD42FC90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FC5626A"/>
    <w:multiLevelType w:val="hybridMultilevel"/>
    <w:tmpl w:val="84EE1858"/>
    <w:lvl w:ilvl="0" w:tplc="44DAB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1821EFE">
      <w:start w:val="1"/>
      <w:numFmt w:val="lowerLetter"/>
      <w:lvlText w:val="%2."/>
      <w:lvlJc w:val="left"/>
      <w:pPr>
        <w:ind w:left="1440" w:hanging="360"/>
      </w:pPr>
    </w:lvl>
    <w:lvl w:ilvl="2" w:tplc="4C560444">
      <w:start w:val="1"/>
      <w:numFmt w:val="lowerRoman"/>
      <w:lvlText w:val="%3."/>
      <w:lvlJc w:val="right"/>
      <w:pPr>
        <w:ind w:left="2160" w:hanging="180"/>
      </w:pPr>
    </w:lvl>
    <w:lvl w:ilvl="3" w:tplc="177435E4">
      <w:start w:val="1"/>
      <w:numFmt w:val="decimal"/>
      <w:lvlText w:val="%4."/>
      <w:lvlJc w:val="left"/>
      <w:pPr>
        <w:ind w:left="2880" w:hanging="360"/>
      </w:pPr>
    </w:lvl>
    <w:lvl w:ilvl="4" w:tplc="EBB870F4">
      <w:start w:val="1"/>
      <w:numFmt w:val="lowerLetter"/>
      <w:lvlText w:val="%5."/>
      <w:lvlJc w:val="left"/>
      <w:pPr>
        <w:ind w:left="3600" w:hanging="360"/>
      </w:pPr>
    </w:lvl>
    <w:lvl w:ilvl="5" w:tplc="AD3C64FE">
      <w:start w:val="1"/>
      <w:numFmt w:val="lowerRoman"/>
      <w:lvlText w:val="%6."/>
      <w:lvlJc w:val="right"/>
      <w:pPr>
        <w:ind w:left="4320" w:hanging="180"/>
      </w:pPr>
    </w:lvl>
    <w:lvl w:ilvl="6" w:tplc="FF282FAA">
      <w:start w:val="1"/>
      <w:numFmt w:val="decimal"/>
      <w:lvlText w:val="%7."/>
      <w:lvlJc w:val="left"/>
      <w:pPr>
        <w:ind w:left="5040" w:hanging="360"/>
      </w:pPr>
    </w:lvl>
    <w:lvl w:ilvl="7" w:tplc="EC82BCC6">
      <w:start w:val="1"/>
      <w:numFmt w:val="lowerLetter"/>
      <w:lvlText w:val="%8."/>
      <w:lvlJc w:val="left"/>
      <w:pPr>
        <w:ind w:left="5760" w:hanging="360"/>
      </w:pPr>
    </w:lvl>
    <w:lvl w:ilvl="8" w:tplc="A48625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A72D3"/>
    <w:multiLevelType w:val="hybridMultilevel"/>
    <w:tmpl w:val="D1BE0C1A"/>
    <w:lvl w:ilvl="0" w:tplc="82ACA3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46A57D8">
      <w:start w:val="1"/>
      <w:numFmt w:val="lowerLetter"/>
      <w:lvlText w:val="%2."/>
      <w:lvlJc w:val="left"/>
      <w:pPr>
        <w:ind w:left="1506" w:hanging="360"/>
      </w:pPr>
    </w:lvl>
    <w:lvl w:ilvl="2" w:tplc="943EA588">
      <w:start w:val="1"/>
      <w:numFmt w:val="lowerRoman"/>
      <w:lvlText w:val="%3."/>
      <w:lvlJc w:val="right"/>
      <w:pPr>
        <w:ind w:left="2226" w:hanging="180"/>
      </w:pPr>
    </w:lvl>
    <w:lvl w:ilvl="3" w:tplc="DF5C6EEE">
      <w:start w:val="1"/>
      <w:numFmt w:val="decimal"/>
      <w:lvlText w:val="%4."/>
      <w:lvlJc w:val="left"/>
      <w:pPr>
        <w:ind w:left="2946" w:hanging="360"/>
      </w:pPr>
    </w:lvl>
    <w:lvl w:ilvl="4" w:tplc="1C50A2E8">
      <w:start w:val="1"/>
      <w:numFmt w:val="lowerLetter"/>
      <w:lvlText w:val="%5."/>
      <w:lvlJc w:val="left"/>
      <w:pPr>
        <w:ind w:left="3666" w:hanging="360"/>
      </w:pPr>
    </w:lvl>
    <w:lvl w:ilvl="5" w:tplc="0676269A">
      <w:start w:val="1"/>
      <w:numFmt w:val="lowerRoman"/>
      <w:lvlText w:val="%6."/>
      <w:lvlJc w:val="right"/>
      <w:pPr>
        <w:ind w:left="4386" w:hanging="180"/>
      </w:pPr>
    </w:lvl>
    <w:lvl w:ilvl="6" w:tplc="4190AABE">
      <w:start w:val="1"/>
      <w:numFmt w:val="decimal"/>
      <w:lvlText w:val="%7."/>
      <w:lvlJc w:val="left"/>
      <w:pPr>
        <w:ind w:left="5106" w:hanging="360"/>
      </w:pPr>
    </w:lvl>
    <w:lvl w:ilvl="7" w:tplc="BDC25256">
      <w:start w:val="1"/>
      <w:numFmt w:val="lowerLetter"/>
      <w:lvlText w:val="%8."/>
      <w:lvlJc w:val="left"/>
      <w:pPr>
        <w:ind w:left="5826" w:hanging="360"/>
      </w:pPr>
    </w:lvl>
    <w:lvl w:ilvl="8" w:tplc="1EA8755C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E8"/>
    <w:rsid w:val="00042DAD"/>
    <w:rsid w:val="00053F80"/>
    <w:rsid w:val="00062690"/>
    <w:rsid w:val="000C7426"/>
    <w:rsid w:val="000F154C"/>
    <w:rsid w:val="00105B5D"/>
    <w:rsid w:val="00107C11"/>
    <w:rsid w:val="0017316D"/>
    <w:rsid w:val="00177B8D"/>
    <w:rsid w:val="001971AF"/>
    <w:rsid w:val="002270ED"/>
    <w:rsid w:val="0024736C"/>
    <w:rsid w:val="002673E8"/>
    <w:rsid w:val="0028125F"/>
    <w:rsid w:val="002B642C"/>
    <w:rsid w:val="00307E3F"/>
    <w:rsid w:val="003A1C98"/>
    <w:rsid w:val="003A4A22"/>
    <w:rsid w:val="00563741"/>
    <w:rsid w:val="005B016E"/>
    <w:rsid w:val="005B1128"/>
    <w:rsid w:val="006365B8"/>
    <w:rsid w:val="00637E2C"/>
    <w:rsid w:val="006A622E"/>
    <w:rsid w:val="006A779E"/>
    <w:rsid w:val="00834302"/>
    <w:rsid w:val="0088408B"/>
    <w:rsid w:val="00891011"/>
    <w:rsid w:val="008A5C5D"/>
    <w:rsid w:val="008B1CF4"/>
    <w:rsid w:val="008C6A24"/>
    <w:rsid w:val="008C779C"/>
    <w:rsid w:val="00954C76"/>
    <w:rsid w:val="00A0674C"/>
    <w:rsid w:val="00A9444C"/>
    <w:rsid w:val="00B808C5"/>
    <w:rsid w:val="00B9662D"/>
    <w:rsid w:val="00BD7CF0"/>
    <w:rsid w:val="00C3727B"/>
    <w:rsid w:val="00C807F0"/>
    <w:rsid w:val="00CA4E66"/>
    <w:rsid w:val="00CA77E5"/>
    <w:rsid w:val="00D24ABE"/>
    <w:rsid w:val="00D5174C"/>
    <w:rsid w:val="00D9696C"/>
    <w:rsid w:val="00DA14D1"/>
    <w:rsid w:val="00DA3339"/>
    <w:rsid w:val="00E0514B"/>
    <w:rsid w:val="00E13459"/>
    <w:rsid w:val="00E21EDA"/>
    <w:rsid w:val="00EA3103"/>
    <w:rsid w:val="00F144A1"/>
    <w:rsid w:val="00F14DE7"/>
    <w:rsid w:val="00F418C4"/>
    <w:rsid w:val="00F7579C"/>
    <w:rsid w:val="00F9335E"/>
    <w:rsid w:val="00FC2C3D"/>
    <w:rsid w:val="00FC40E0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34D6"/>
  <w15:docId w15:val="{AE154EB5-C589-495B-95EE-0DE71CFF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pPr>
      <w:spacing w:after="20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Pr>
      <w:sz w:val="20"/>
      <w:szCs w:val="20"/>
    </w:rPr>
  </w:style>
  <w:style w:type="paragraph" w:styleId="af4">
    <w:name w:val="List Paragraph"/>
    <w:basedOn w:val="a"/>
    <w:link w:val="af5"/>
    <w:uiPriority w:val="34"/>
    <w:qFormat/>
    <w:pPr>
      <w:spacing w:after="200" w:line="276" w:lineRule="auto"/>
      <w:ind w:left="720"/>
      <w:contextualSpacing/>
    </w:pPr>
  </w:style>
  <w:style w:type="character" w:customStyle="1" w:styleId="af5">
    <w:name w:val="Абзац списка Знак"/>
    <w:link w:val="af4"/>
    <w:uiPriority w:val="34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  <w:style w:type="paragraph" w:styleId="afe">
    <w:name w:val="annotation subject"/>
    <w:basedOn w:val="af2"/>
    <w:next w:val="af2"/>
    <w:link w:val="aff"/>
    <w:uiPriority w:val="99"/>
    <w:semiHidden/>
    <w:unhideWhenUsed/>
    <w:pPr>
      <w:spacing w:after="160"/>
    </w:pPr>
    <w:rPr>
      <w:b/>
      <w:bCs/>
    </w:rPr>
  </w:style>
  <w:style w:type="character" w:customStyle="1" w:styleId="aff">
    <w:name w:val="Тема примечания Знак"/>
    <w:basedOn w:val="af3"/>
    <w:link w:val="afe"/>
    <w:uiPriority w:val="99"/>
    <w:semiHidden/>
    <w:rPr>
      <w:b/>
      <w:bCs/>
      <w:sz w:val="20"/>
      <w:szCs w:val="20"/>
    </w:rPr>
  </w:style>
  <w:style w:type="paragraph" w:styleId="aff0">
    <w:name w:val="Revision"/>
    <w:hidden/>
    <w:uiPriority w:val="99"/>
    <w:semiHidden/>
    <w:pPr>
      <w:spacing w:after="0" w:line="240" w:lineRule="auto"/>
    </w:pPr>
  </w:style>
  <w:style w:type="paragraph" w:styleId="aff1">
    <w:name w:val="footnote text"/>
    <w:basedOn w:val="a"/>
    <w:link w:val="af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25">
    <w:name w:val="Сетка таблицы2"/>
    <w:basedOn w:val="a1"/>
    <w:next w:val="afc"/>
    <w:uiPriority w:val="39"/>
    <w:rsid w:val="003A1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71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1653,bqiaagaaeyqcaaagiaiaaapcbqaabeofaaaaaaaaaaaaaaaaaaaaaaaaaaaaaaaaaaaaaaaaaaaaaaaaaaaaaaaaaaaaaaaaaaaaaaaaaaaaaaaaaaaaaaaaaaaaaaaaaaaaaaaaaaaaaaaaaaaaaaaaaaaaaaaaaaaaaaaaaaaaaaaaaaaaaaaaaaaaaaaaaaaaaaaaaaaaaaaaaaaaaaaaaaaaaaaaaaaaaaaa"/>
    <w:basedOn w:val="a"/>
    <w:rsid w:val="00197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343222&amp;date=02.11.20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23603&amp;dst=100121&amp;field=134&amp;date=29.07.202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3603&amp;dst=100118&amp;field=134&amp;date=29.07.202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C028-52F4-4CE7-BB72-77995A82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5572</Words>
  <Characters>31762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Galaxy</cp:lastModifiedBy>
  <cp:revision>13</cp:revision>
  <cp:lastPrinted>2025-05-14T08:06:00Z</cp:lastPrinted>
  <dcterms:created xsi:type="dcterms:W3CDTF">2025-11-25T08:58:00Z</dcterms:created>
  <dcterms:modified xsi:type="dcterms:W3CDTF">2025-11-26T11:54:00Z</dcterms:modified>
</cp:coreProperties>
</file>