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bookmarkStart w:id="0" w:name="_GoBack"/>
      <w:bookmarkEnd w:id="0"/>
      <w:r w:rsidRPr="00AF1914">
        <w:rPr>
          <w:szCs w:val="24"/>
        </w:rPr>
        <w:t xml:space="preserve">Приложение № </w:t>
      </w:r>
      <w:r w:rsidR="00F56C1A">
        <w:rPr>
          <w:szCs w:val="24"/>
        </w:rPr>
        <w:t>7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AF1914">
        <w:rPr>
          <w:szCs w:val="24"/>
        </w:rPr>
        <w:t>к муниципальной програ</w:t>
      </w:r>
      <w:r>
        <w:rPr>
          <w:szCs w:val="24"/>
        </w:rPr>
        <w:t>мме муниципального образования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3F5872">
        <w:rPr>
          <w:szCs w:val="24"/>
        </w:rPr>
        <w:t>«Сергиево-Посадский муниципальный район Московской области»</w:t>
      </w:r>
    </w:p>
    <w:p w:rsidR="00E51FE8" w:rsidRPr="00AF1914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«Б</w:t>
      </w:r>
      <w:r w:rsidRPr="00AF1914">
        <w:rPr>
          <w:szCs w:val="24"/>
        </w:rPr>
        <w:t>езопасност</w:t>
      </w:r>
      <w:r>
        <w:rPr>
          <w:szCs w:val="24"/>
        </w:rPr>
        <w:t>ь</w:t>
      </w:r>
      <w:r w:rsidRPr="00AF1914">
        <w:rPr>
          <w:szCs w:val="24"/>
        </w:rPr>
        <w:t xml:space="preserve"> Сергиево-Посадского муниципального района</w:t>
      </w:r>
      <w:r>
        <w:rPr>
          <w:szCs w:val="24"/>
        </w:rPr>
        <w:t xml:space="preserve"> Московской области »</w:t>
      </w:r>
    </w:p>
    <w:p w:rsidR="00E51FE8" w:rsidRPr="00AF1914" w:rsidRDefault="00E51FE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</w:p>
    <w:p w:rsidR="00717B88" w:rsidRPr="00795040" w:rsidRDefault="00717B88" w:rsidP="00717B88">
      <w:pPr>
        <w:pStyle w:val="ab"/>
        <w:ind w:firstLine="9214"/>
      </w:pPr>
    </w:p>
    <w:p w:rsidR="00717B88" w:rsidRPr="00F12B79" w:rsidRDefault="00717B88" w:rsidP="00717B88">
      <w:pPr>
        <w:pStyle w:val="ab"/>
        <w:spacing w:line="276" w:lineRule="auto"/>
        <w:ind w:firstLine="9214"/>
      </w:pPr>
    </w:p>
    <w:p w:rsidR="00717B88" w:rsidRPr="003C1602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602">
        <w:rPr>
          <w:rFonts w:ascii="Times New Roman" w:hAnsi="Times New Roman" w:cs="Times New Roman"/>
          <w:b/>
          <w:sz w:val="24"/>
          <w:szCs w:val="24"/>
        </w:rPr>
        <w:t xml:space="preserve">МЕТОДИКА РАСЧЕТА ЗНАЧЕНИЙ ПОКАЗАТЕЛЕЙ ЭФФЕКТИВНОСТИ РЕАЛИЗАЦИИ </w:t>
      </w:r>
    </w:p>
    <w:p w:rsidR="00717B88" w:rsidRPr="00F12B79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79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602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  <w:r w:rsidRPr="00F12B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1FE8" w:rsidRPr="00AF1914" w:rsidRDefault="00E51FE8" w:rsidP="00E51FE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F1914">
        <w:rPr>
          <w:rFonts w:ascii="Times New Roman" w:hAnsi="Times New Roman" w:cs="Times New Roman"/>
          <w:b/>
          <w:sz w:val="24"/>
          <w:szCs w:val="24"/>
        </w:rPr>
        <w:t>БЕЗОПАСНОСТ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AF1914">
        <w:rPr>
          <w:rFonts w:ascii="Times New Roman" w:hAnsi="Times New Roman" w:cs="Times New Roman"/>
          <w:b/>
          <w:sz w:val="24"/>
          <w:szCs w:val="24"/>
        </w:rPr>
        <w:t>СЕРГИЕВО-П</w:t>
      </w:r>
      <w:r>
        <w:rPr>
          <w:rFonts w:ascii="Times New Roman" w:hAnsi="Times New Roman" w:cs="Times New Roman"/>
          <w:b/>
          <w:sz w:val="24"/>
          <w:szCs w:val="24"/>
        </w:rPr>
        <w:t>ОСАДСКОГО МУНИЦИПАЛЬНОГО РАЙОНА МОСКОВСКОЙ ОБЛАСТИ »</w:t>
      </w:r>
    </w:p>
    <w:p w:rsidR="00717B88" w:rsidRPr="00795040" w:rsidRDefault="00717B88" w:rsidP="00717B88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0"/>
          <w:szCs w:val="20"/>
          <w:lang w:eastAsia="ru-RU"/>
        </w:rPr>
      </w:pPr>
    </w:p>
    <w:p w:rsidR="007D3BAB" w:rsidRPr="00BF70B5" w:rsidRDefault="007D3BAB" w:rsidP="00C34D85">
      <w:pPr>
        <w:spacing w:after="200" w:line="240" w:lineRule="auto"/>
        <w:ind w:firstLine="0"/>
        <w:rPr>
          <w:rFonts w:eastAsiaTheme="minorEastAsia"/>
          <w:sz w:val="2"/>
          <w:szCs w:val="2"/>
          <w:lang w:eastAsia="ru-RU"/>
        </w:rPr>
      </w:pPr>
    </w:p>
    <w:p w:rsidR="001B77ED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CE26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етодика расчета значений показателей эффективности реализации подпрограммы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1B77ED" w:rsidRPr="00CE2679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77ED" w:rsidRPr="00CE2679" w:rsidRDefault="001B77ED" w:rsidP="001B77E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679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реализации подпрограммы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E2679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определяется степенью достижения следующих показателей:</w:t>
      </w:r>
    </w:p>
    <w:p w:rsidR="00E51FE8" w:rsidRDefault="00E51FE8" w:rsidP="00E51FE8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59"/>
        <w:gridCol w:w="9292"/>
      </w:tblGrid>
      <w:tr w:rsidR="00E51FE8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677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2" w:type="pct"/>
            <w:shd w:val="clear" w:color="auto" w:fill="auto"/>
          </w:tcPr>
          <w:p w:rsidR="00E51FE8" w:rsidRPr="001B77ED" w:rsidRDefault="00E51FE8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1.</w:t>
            </w:r>
          </w:p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доли социальных объектов (учреждений), оборудова</w:t>
            </w:r>
            <w:r>
              <w:rPr>
                <w:bCs/>
                <w:sz w:val="16"/>
                <w:szCs w:val="16"/>
              </w:rPr>
              <w:t>н</w:t>
            </w:r>
            <w:r>
              <w:rPr>
                <w:bCs/>
                <w:sz w:val="16"/>
                <w:szCs w:val="16"/>
              </w:rPr>
              <w:t>ных в целях антитеррористической защищенности средствами обе</w:t>
            </w:r>
            <w:r>
              <w:rPr>
                <w:bCs/>
                <w:sz w:val="16"/>
                <w:szCs w:val="16"/>
              </w:rPr>
              <w:t>с</w:t>
            </w:r>
            <w:r>
              <w:rPr>
                <w:bCs/>
                <w:sz w:val="16"/>
                <w:szCs w:val="16"/>
              </w:rPr>
              <w:t>печения безопасности.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526FAD">
            <w:pPr>
              <w:rPr>
                <w:bCs/>
                <w:sz w:val="16"/>
                <w:szCs w:val="16"/>
              </w:rPr>
            </w:pPr>
          </w:p>
          <w:p w:rsidR="000A2A92" w:rsidRPr="001B77ED" w:rsidRDefault="000A2A92" w:rsidP="00526FAD">
            <w:pPr>
              <w:rPr>
                <w:bCs/>
                <w:sz w:val="16"/>
                <w:szCs w:val="16"/>
              </w:rPr>
            </w:pPr>
          </w:p>
          <w:p w:rsidR="000A2A92" w:rsidRPr="001B77ED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</w:t>
            </w:r>
            <w:r>
              <w:rPr>
                <w:bCs/>
                <w:sz w:val="16"/>
                <w:szCs w:val="16"/>
              </w:rPr>
              <w:t>ДО+ДК+ДЗ</w:t>
            </w:r>
          </w:p>
          <w:p w:rsidR="000A2A92" w:rsidRPr="001B77ED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САЗ</w:t>
            </w:r>
            <w:r w:rsidRPr="001B77ED">
              <w:rPr>
                <w:bCs/>
                <w:sz w:val="16"/>
                <w:szCs w:val="16"/>
              </w:rPr>
              <w:t xml:space="preserve"> =    ------------  </w:t>
            </w:r>
          </w:p>
          <w:p w:rsidR="000A2A92" w:rsidRPr="001B77ED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3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доля объектов образования, оборудованных в целях антитеррористической  защищенности  средствами обеспечения безопа</w:t>
            </w:r>
            <w:r>
              <w:rPr>
                <w:bCs/>
                <w:sz w:val="16"/>
                <w:szCs w:val="16"/>
              </w:rPr>
              <w:t>с</w:t>
            </w:r>
            <w:r>
              <w:rPr>
                <w:bCs/>
                <w:sz w:val="16"/>
                <w:szCs w:val="16"/>
              </w:rPr>
              <w:t>ности  на отчетный период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ДК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доля объектов  культуры, оборудованных в целях антитеррористической защищенности средствами обеспечения безопасн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сти на отчетный период;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ДЗ- доля объектов спорта,  оборудованных в целях антитеррористической защищенности средствами обеспечения безопасности  на отчетный период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1677" w:type="pct"/>
            <w:shd w:val="clear" w:color="auto" w:fill="auto"/>
          </w:tcPr>
          <w:p w:rsidR="000A2A92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числа граждан, участвующих в деятельности общ</w:t>
            </w:r>
            <w:r>
              <w:rPr>
                <w:bCs/>
                <w:sz w:val="16"/>
                <w:szCs w:val="16"/>
              </w:rPr>
              <w:t>е</w:t>
            </w:r>
            <w:r>
              <w:rPr>
                <w:bCs/>
                <w:sz w:val="16"/>
                <w:szCs w:val="16"/>
              </w:rPr>
              <w:t>ственных формирований правоохранительной направленности</w:t>
            </w:r>
          </w:p>
        </w:tc>
        <w:tc>
          <w:tcPr>
            <w:tcW w:w="3142" w:type="pct"/>
            <w:shd w:val="clear" w:color="auto" w:fill="auto"/>
          </w:tcPr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Методика  показателя рассчитывается по формуле:</w:t>
            </w: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К=(КНД/КНДБ)*100%</w:t>
            </w: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где:</w:t>
            </w: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К-значение показателя «Увеличение числа граждан, участвующих в деятельности общественных формирований  правоохранител</w:t>
            </w:r>
            <w:r>
              <w:rPr>
                <w:bCs/>
                <w:sz w:val="16"/>
                <w:szCs w:val="16"/>
              </w:rPr>
              <w:t>ь</w:t>
            </w:r>
            <w:r>
              <w:rPr>
                <w:bCs/>
                <w:sz w:val="16"/>
                <w:szCs w:val="16"/>
              </w:rPr>
              <w:t>ной направленности»;</w:t>
            </w:r>
          </w:p>
          <w:p w:rsidR="000A2A92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КНД- количество народных дружинников (по итогам отчетного периода);</w:t>
            </w:r>
          </w:p>
          <w:p w:rsidR="000A2A92" w:rsidRPr="001B77ED" w:rsidRDefault="000A2A92" w:rsidP="00526FAD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КНДБ- количество народных дружинников (по итогам базового периода)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Снижение доли н</w:t>
            </w:r>
            <w:r w:rsidRPr="001B77ED">
              <w:rPr>
                <w:bCs/>
                <w:sz w:val="16"/>
                <w:szCs w:val="16"/>
              </w:rPr>
              <w:t>есовершеннолетни</w:t>
            </w:r>
            <w:r>
              <w:rPr>
                <w:bCs/>
                <w:sz w:val="16"/>
                <w:szCs w:val="16"/>
              </w:rPr>
              <w:t>х в общем числе лиц, сове</w:t>
            </w:r>
            <w:r>
              <w:rPr>
                <w:bCs/>
                <w:sz w:val="16"/>
                <w:szCs w:val="16"/>
              </w:rPr>
              <w:t>р</w:t>
            </w:r>
            <w:r>
              <w:rPr>
                <w:bCs/>
                <w:sz w:val="16"/>
                <w:szCs w:val="16"/>
              </w:rPr>
              <w:t>шивших преступление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C76D16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С</w:t>
            </w:r>
          </w:p>
          <w:p w:rsidR="000A2A92" w:rsidRPr="001B77ED" w:rsidRDefault="000A2A92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P =    ----  х 100% - 100%,</w:t>
            </w:r>
          </w:p>
          <w:p w:rsidR="000A2A92" w:rsidRPr="001B77ED" w:rsidRDefault="000A2A92" w:rsidP="00C76D16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В</w:t>
            </w:r>
          </w:p>
          <w:p w:rsidR="000A2A92" w:rsidRPr="001B77ED" w:rsidRDefault="000A2A92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Р - показатель снижения </w:t>
            </w:r>
            <w:r>
              <w:rPr>
                <w:bCs/>
                <w:sz w:val="16"/>
                <w:szCs w:val="16"/>
              </w:rPr>
              <w:t>доли несовершеннолетних в общем числе лиц, совершивших преступление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С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число несовершеннолетних, совершивших преступления в отчетном периоде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C76D16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В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общее число лиц, совершивших преступления в отчетном периоде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3E1A73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доли</w:t>
            </w:r>
            <w:r w:rsidRPr="001B77ED">
              <w:rPr>
                <w:bCs/>
                <w:sz w:val="16"/>
                <w:szCs w:val="16"/>
              </w:rPr>
              <w:t xml:space="preserve"> объектов</w:t>
            </w:r>
            <w:r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людей, оборудованных системами видеонаблюдения и подключенных к системе «Безопасный регион», в общем числе т</w:t>
            </w:r>
            <w:r w:rsidRPr="001B77ED">
              <w:rPr>
                <w:bCs/>
                <w:sz w:val="16"/>
                <w:szCs w:val="16"/>
              </w:rPr>
              <w:t>а</w:t>
            </w:r>
            <w:r>
              <w:rPr>
                <w:bCs/>
                <w:sz w:val="16"/>
                <w:szCs w:val="16"/>
              </w:rPr>
              <w:t>ковых.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0A2A92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0A2A92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ОМОВ</w:t>
            </w:r>
          </w:p>
          <w:p w:rsidR="000A2A92" w:rsidRPr="001B77ED" w:rsidRDefault="000A2A92" w:rsidP="000A2A92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P =    -----------  х 100%,</w:t>
            </w:r>
          </w:p>
          <w:p w:rsidR="000A2A92" w:rsidRPr="001B77ED" w:rsidRDefault="000A2A92" w:rsidP="000A2A92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ОКОМ</w:t>
            </w:r>
          </w:p>
          <w:p w:rsidR="000A2A92" w:rsidRPr="001B77ED" w:rsidRDefault="000A2A92" w:rsidP="000A2A92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0A2A92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P - доля объектов</w:t>
            </w:r>
            <w:r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людей, оборудованных системами видеонаблюдения и по</w:t>
            </w:r>
            <w:r w:rsidRPr="001B77ED">
              <w:rPr>
                <w:bCs/>
                <w:sz w:val="16"/>
                <w:szCs w:val="16"/>
              </w:rPr>
              <w:t>д</w:t>
            </w:r>
            <w:r w:rsidRPr="001B77ED">
              <w:rPr>
                <w:bCs/>
                <w:sz w:val="16"/>
                <w:szCs w:val="16"/>
              </w:rPr>
              <w:t>ключенных к системе «Безопасны</w:t>
            </w:r>
            <w:r>
              <w:rPr>
                <w:bCs/>
                <w:sz w:val="16"/>
                <w:szCs w:val="16"/>
              </w:rPr>
              <w:t>й регион», в общем числе таковых;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0A2A92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ОМОВ - количество социально-значимых объектов, мест с массовым пребыванием людей, оборудованных системами видеонабл</w:t>
            </w:r>
            <w:r w:rsidRPr="001B77ED">
              <w:rPr>
                <w:bCs/>
                <w:sz w:val="16"/>
                <w:szCs w:val="16"/>
              </w:rPr>
              <w:t>ю</w:t>
            </w:r>
            <w:r w:rsidRPr="001B77ED">
              <w:rPr>
                <w:bCs/>
                <w:sz w:val="16"/>
                <w:szCs w:val="16"/>
              </w:rPr>
              <w:t>дения и подключенных к системе «Безопасный регион»;</w:t>
            </w:r>
          </w:p>
          <w:p w:rsidR="000A2A92" w:rsidRPr="001B77ED" w:rsidRDefault="000A2A92" w:rsidP="000A2A92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ОКОМ – общее количество объектов</w:t>
            </w:r>
            <w:r>
              <w:rPr>
                <w:bCs/>
                <w:sz w:val="16"/>
                <w:szCs w:val="16"/>
              </w:rPr>
              <w:t xml:space="preserve"> социальной сферы</w:t>
            </w:r>
            <w:r w:rsidRPr="001B77ED">
              <w:rPr>
                <w:bCs/>
                <w:sz w:val="16"/>
                <w:szCs w:val="16"/>
              </w:rPr>
              <w:t>, мест с массовым пребыванием людей</w:t>
            </w:r>
          </w:p>
          <w:p w:rsidR="000A2A92" w:rsidRPr="001B77ED" w:rsidRDefault="000A2A92" w:rsidP="003E1A73">
            <w:pPr>
              <w:pStyle w:val="Default"/>
              <w:jc w:val="both"/>
              <w:rPr>
                <w:bCs/>
                <w:sz w:val="16"/>
                <w:szCs w:val="16"/>
              </w:rPr>
            </w:pP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5061C5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Доля коммерческих объектов, оборудованных системами видеон</w:t>
            </w:r>
            <w:r w:rsidRPr="001B77ED">
              <w:rPr>
                <w:bCs/>
                <w:sz w:val="16"/>
                <w:szCs w:val="16"/>
              </w:rPr>
              <w:t>а</w:t>
            </w:r>
            <w:r w:rsidRPr="001B77ED">
              <w:rPr>
                <w:bCs/>
                <w:sz w:val="16"/>
                <w:szCs w:val="16"/>
              </w:rPr>
              <w:t>блюдения и подключенных к системе «Безопасный регион»</w:t>
            </w:r>
          </w:p>
          <w:p w:rsidR="000A2A92" w:rsidRPr="001B77ED" w:rsidRDefault="000A2A92" w:rsidP="005061C5">
            <w:pPr>
              <w:pStyle w:val="Default"/>
              <w:rPr>
                <w:bCs/>
                <w:sz w:val="16"/>
                <w:szCs w:val="16"/>
              </w:rPr>
            </w:pP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5061C5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К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Р =    -----------  х 100%,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М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Р -доля коммерческих объектов, оборудованных системами видеонаблюдения и подключенных к системе «Безопасный регион»;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К-количество торговых центров, оборудованных системами видеонаблюдения и подключенных к системе «Безопасный регион»;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М-количество торговых центров</w:t>
            </w:r>
          </w:p>
          <w:p w:rsidR="000A2A92" w:rsidRPr="001B77ED" w:rsidRDefault="000A2A92" w:rsidP="005061C5">
            <w:pPr>
              <w:pStyle w:val="Default"/>
              <w:jc w:val="both"/>
              <w:rPr>
                <w:bCs/>
                <w:sz w:val="16"/>
                <w:szCs w:val="16"/>
              </w:rPr>
            </w:pP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Снижение количества преступлений экстремистского характера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526FAD">
            <w:pPr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</w:t>
            </w:r>
            <w:r>
              <w:rPr>
                <w:bCs/>
                <w:sz w:val="16"/>
                <w:szCs w:val="16"/>
              </w:rPr>
              <w:t>КЗП</w:t>
            </w:r>
          </w:p>
          <w:p w:rsidR="000A2A92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С</w:t>
            </w:r>
            <w:r w:rsidRPr="001B77ED">
              <w:rPr>
                <w:bCs/>
                <w:sz w:val="16"/>
                <w:szCs w:val="16"/>
              </w:rPr>
              <w:t>П = ---------------------------------- х 100%</w:t>
            </w:r>
          </w:p>
          <w:p w:rsidR="000A2A92" w:rsidRPr="001B77ED" w:rsidRDefault="000A2A92" w:rsidP="00526FAD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КПЭН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</w:t>
            </w:r>
            <w:r w:rsidRPr="001B77ED">
              <w:rPr>
                <w:bCs/>
                <w:sz w:val="16"/>
                <w:szCs w:val="16"/>
              </w:rPr>
              <w:t xml:space="preserve">П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снижение количества преступлений экстремистского характера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К</w:t>
            </w:r>
            <w:r>
              <w:rPr>
                <w:bCs/>
                <w:sz w:val="16"/>
                <w:szCs w:val="16"/>
              </w:rPr>
              <w:t>ЗП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зарегистрированных преступлений экстремистского характера (за отчетный период)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526FAD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КПЭН</w:t>
            </w:r>
            <w:r w:rsidRPr="001B77ED">
              <w:rPr>
                <w:bCs/>
                <w:sz w:val="16"/>
                <w:szCs w:val="16"/>
              </w:rPr>
              <w:t xml:space="preserve"> - количество </w:t>
            </w:r>
            <w:r>
              <w:rPr>
                <w:bCs/>
                <w:sz w:val="16"/>
                <w:szCs w:val="16"/>
              </w:rPr>
              <w:t>преступлений экстремистского характера (базовый период)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526FAD">
            <w:pPr>
              <w:rPr>
                <w:sz w:val="16"/>
                <w:szCs w:val="16"/>
              </w:rPr>
            </w:pP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7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количества мероприятий антиэкстремистской напра</w:t>
            </w:r>
            <w:r>
              <w:rPr>
                <w:bCs/>
                <w:sz w:val="16"/>
                <w:szCs w:val="16"/>
              </w:rPr>
              <w:t>в</w:t>
            </w:r>
            <w:r>
              <w:rPr>
                <w:bCs/>
                <w:sz w:val="16"/>
                <w:szCs w:val="16"/>
              </w:rPr>
              <w:t>ленности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C60BDF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C60BDF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КМАЭН</w:t>
            </w:r>
          </w:p>
          <w:p w:rsidR="000A2A92" w:rsidRPr="001B77ED" w:rsidRDefault="000A2A92" w:rsidP="00C60BDF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УКМ</w:t>
            </w:r>
            <w:r w:rsidRPr="001B77ED">
              <w:rPr>
                <w:bCs/>
                <w:sz w:val="16"/>
                <w:szCs w:val="16"/>
              </w:rPr>
              <w:t xml:space="preserve"> =    --------------  х 100%,</w:t>
            </w:r>
          </w:p>
          <w:p w:rsidR="000A2A92" w:rsidRPr="001B77ED" w:rsidRDefault="000A2A92" w:rsidP="00C60BDF">
            <w:pPr>
              <w:pStyle w:val="Defaul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КПМБ</w:t>
            </w:r>
          </w:p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УКМ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увеличение количества мероприятий </w:t>
            </w:r>
            <w:r w:rsidRPr="001B77ED">
              <w:rPr>
                <w:bCs/>
                <w:sz w:val="16"/>
                <w:szCs w:val="16"/>
              </w:rPr>
              <w:t xml:space="preserve"> антиэкстремистской направленности;</w:t>
            </w:r>
          </w:p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КМАЭН</w:t>
            </w:r>
            <w:r w:rsidRPr="001B77ED">
              <w:rPr>
                <w:bCs/>
                <w:sz w:val="16"/>
                <w:szCs w:val="16"/>
              </w:rPr>
              <w:t xml:space="preserve"> - количество </w:t>
            </w:r>
            <w:r>
              <w:rPr>
                <w:bCs/>
                <w:sz w:val="16"/>
                <w:szCs w:val="16"/>
              </w:rPr>
              <w:t>проведенных мероприятий антиэкстремистской направленности (за отчетный период)</w:t>
            </w:r>
          </w:p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КПМБ</w:t>
            </w:r>
            <w:r w:rsidRPr="001B77ED">
              <w:rPr>
                <w:bCs/>
                <w:sz w:val="16"/>
                <w:szCs w:val="16"/>
              </w:rPr>
              <w:t xml:space="preserve"> – </w:t>
            </w:r>
            <w:r>
              <w:rPr>
                <w:bCs/>
                <w:sz w:val="16"/>
                <w:szCs w:val="16"/>
              </w:rPr>
              <w:t>количество проведенных антиэкстремистских мероприятий (базовый период)</w:t>
            </w:r>
          </w:p>
          <w:p w:rsidR="000A2A92" w:rsidRPr="001B77ED" w:rsidRDefault="000A2A92" w:rsidP="00C60BDF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</w:t>
            </w:r>
          </w:p>
          <w:p w:rsidR="000A2A92" w:rsidRPr="001B77ED" w:rsidRDefault="000A2A92" w:rsidP="00C60BDF">
            <w:pPr>
              <w:pStyle w:val="Default"/>
              <w:rPr>
                <w:bCs/>
                <w:sz w:val="16"/>
                <w:szCs w:val="16"/>
              </w:rPr>
            </w:pP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677" w:type="pct"/>
            <w:shd w:val="clear" w:color="auto" w:fill="auto"/>
          </w:tcPr>
          <w:p w:rsidR="000A2A92" w:rsidRDefault="000A2A92" w:rsidP="00B146E5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Рост числа лиц, состоящих на диспансерном учете с диагнозом «Употребление наркотиков с вредными последствиями»</w:t>
            </w:r>
          </w:p>
        </w:tc>
        <w:tc>
          <w:tcPr>
            <w:tcW w:w="3142" w:type="pct"/>
            <w:shd w:val="clear" w:color="auto" w:fill="auto"/>
          </w:tcPr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РЧЛ=КЛТГ/КЛПГ*100-100</w:t>
            </w: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Где:</w:t>
            </w: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РЧЛ- рост числа лиц, состоящих на диспансерном учете с диагнозом потребление наркотических средств с вредными последстви</w:t>
            </w:r>
            <w:r>
              <w:rPr>
                <w:bCs/>
                <w:sz w:val="16"/>
                <w:szCs w:val="16"/>
              </w:rPr>
              <w:t>я</w:t>
            </w:r>
            <w:r>
              <w:rPr>
                <w:bCs/>
                <w:sz w:val="16"/>
                <w:szCs w:val="16"/>
              </w:rPr>
              <w:t>ми;</w:t>
            </w:r>
          </w:p>
          <w:p w:rsidR="000A2A92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КЛТГ- количество лиц, состоящих на диспансерном учете с диагнозом  «Употребление наркотиков с вредными последствиями» на конец текущего года;</w:t>
            </w:r>
          </w:p>
          <w:p w:rsidR="000A2A92" w:rsidRPr="001B77ED" w:rsidRDefault="000A2A92" w:rsidP="00B146E5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КЛПГ- количество лиц, состоящих на диспансерном учете с диагнозом потребление наркотических средств с вредными после</w:t>
            </w:r>
            <w:r>
              <w:rPr>
                <w:bCs/>
                <w:sz w:val="16"/>
                <w:szCs w:val="16"/>
              </w:rPr>
              <w:t>д</w:t>
            </w:r>
            <w:r>
              <w:rPr>
                <w:bCs/>
                <w:sz w:val="16"/>
                <w:szCs w:val="16"/>
              </w:rPr>
              <w:t>ствиями на конец предыдущего года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6C40EE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Увеличение числа лиц (школьников и студентов), охваченных пр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филактическими медицинскими осмотрами с целью раннего выя</w:t>
            </w:r>
            <w:r>
              <w:rPr>
                <w:bCs/>
                <w:sz w:val="16"/>
                <w:szCs w:val="16"/>
              </w:rPr>
              <w:t>в</w:t>
            </w:r>
            <w:r>
              <w:rPr>
                <w:bCs/>
                <w:sz w:val="16"/>
                <w:szCs w:val="16"/>
              </w:rPr>
              <w:t>ления незаконного потребления наркотических средств и псих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тропных веществ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6C40EE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6C40EE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</w:t>
            </w:r>
            <w:r>
              <w:rPr>
                <w:bCs/>
                <w:sz w:val="16"/>
                <w:szCs w:val="16"/>
              </w:rPr>
              <w:t>КШТГ</w:t>
            </w:r>
          </w:p>
          <w:p w:rsidR="000A2A92" w:rsidRPr="001B77ED" w:rsidRDefault="000A2A92" w:rsidP="006C40EE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</w:t>
            </w:r>
            <w:r>
              <w:rPr>
                <w:bCs/>
                <w:sz w:val="16"/>
                <w:szCs w:val="16"/>
              </w:rPr>
              <w:t>РЧС</w:t>
            </w:r>
            <w:r w:rsidRPr="001B77ED">
              <w:rPr>
                <w:bCs/>
                <w:sz w:val="16"/>
                <w:szCs w:val="16"/>
              </w:rPr>
              <w:t xml:space="preserve"> =    --------- х 100% - 100%,</w:t>
            </w:r>
          </w:p>
          <w:p w:rsidR="000A2A92" w:rsidRPr="001B77ED" w:rsidRDefault="000A2A92" w:rsidP="006C40EE">
            <w:pPr>
              <w:pStyle w:val="Default"/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  </w:t>
            </w:r>
            <w:r>
              <w:rPr>
                <w:bCs/>
                <w:sz w:val="16"/>
                <w:szCs w:val="16"/>
              </w:rPr>
              <w:t>КШПГ</w:t>
            </w:r>
          </w:p>
          <w:p w:rsidR="000A2A92" w:rsidRPr="001B77ED" w:rsidRDefault="000A2A92" w:rsidP="006C40EE">
            <w:pPr>
              <w:pStyle w:val="Default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6C40EE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РСЧ</w:t>
            </w:r>
            <w:r w:rsidRPr="001B77ED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>рост числа школьников</w:t>
            </w:r>
            <w:r w:rsidRPr="001B77ED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>охваченных профилактическими осмотрами с целью раннего  выявления лиц, употребляющих наркотики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6C40EE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КШТГ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школьников, охваченных осмотрами с целью раннего выявления лиц, употребляющих наркотики по итогам текущего года</w:t>
            </w:r>
            <w:r w:rsidRPr="001B77ED">
              <w:rPr>
                <w:bCs/>
                <w:sz w:val="16"/>
                <w:szCs w:val="16"/>
              </w:rPr>
              <w:t>;</w:t>
            </w:r>
          </w:p>
          <w:p w:rsidR="000A2A92" w:rsidRPr="001B77ED" w:rsidRDefault="000A2A92" w:rsidP="006C40EE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КШПГ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1B77ED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 школьников, охваченных профилактическими осмотрами с целью раннего выявления лиц, употребляющих наркотики по итогам предыдущего года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681887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color w:val="000000"/>
                <w:sz w:val="16"/>
                <w:szCs w:val="16"/>
              </w:rPr>
              <w:t>Обеспечение готовности выделенных, категорированных  помещ</w:t>
            </w:r>
            <w:r w:rsidRPr="001B77ED">
              <w:rPr>
                <w:color w:val="000000"/>
                <w:sz w:val="16"/>
                <w:szCs w:val="16"/>
              </w:rPr>
              <w:t>е</w:t>
            </w:r>
            <w:r w:rsidRPr="001B77ED">
              <w:rPr>
                <w:color w:val="000000"/>
                <w:sz w:val="16"/>
                <w:szCs w:val="16"/>
              </w:rPr>
              <w:t>ний  и средств выделенной техники к использованию по предназн</w:t>
            </w:r>
            <w:r w:rsidRPr="001B77ED">
              <w:rPr>
                <w:color w:val="000000"/>
                <w:sz w:val="16"/>
                <w:szCs w:val="16"/>
              </w:rPr>
              <w:t>а</w:t>
            </w:r>
            <w:r w:rsidRPr="001B77ED">
              <w:rPr>
                <w:color w:val="000000"/>
                <w:sz w:val="16"/>
                <w:szCs w:val="16"/>
              </w:rPr>
              <w:t>чению в целях предотвращения утечки информации  составляющую государственную тайну.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681887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0A2A92" w:rsidRPr="001B77ED" w:rsidRDefault="000A2A92" w:rsidP="00681887">
            <w:pPr>
              <w:rPr>
                <w:bCs/>
                <w:sz w:val="16"/>
                <w:szCs w:val="16"/>
              </w:rPr>
            </w:pPr>
          </w:p>
          <w:p w:rsidR="000A2A92" w:rsidRPr="001B77ED" w:rsidRDefault="000A2A92" w:rsidP="00681887">
            <w:pPr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W</w:t>
            </w:r>
            <w:r w:rsidRPr="001B77ED">
              <w:rPr>
                <w:bCs/>
                <w:sz w:val="16"/>
                <w:szCs w:val="16"/>
              </w:rPr>
              <w:t>=(</w:t>
            </w:r>
            <w:r w:rsidRPr="001B77ED">
              <w:rPr>
                <w:bCs/>
                <w:sz w:val="16"/>
                <w:szCs w:val="16"/>
                <w:lang w:val="en-US"/>
              </w:rPr>
              <w:t>Zp</w:t>
            </w:r>
            <w:r w:rsidRPr="001B77ED">
              <w:rPr>
                <w:bCs/>
                <w:sz w:val="16"/>
                <w:szCs w:val="16"/>
              </w:rPr>
              <w:t>:</w:t>
            </w:r>
            <w:r w:rsidRPr="001B77ED">
              <w:rPr>
                <w:bCs/>
                <w:sz w:val="16"/>
                <w:szCs w:val="16"/>
                <w:lang w:val="en-US"/>
              </w:rPr>
              <w:t>Zo</w:t>
            </w:r>
            <w:r w:rsidRPr="001B77ED">
              <w:rPr>
                <w:bCs/>
                <w:sz w:val="16"/>
                <w:szCs w:val="16"/>
              </w:rPr>
              <w:t>) х 100%,</w:t>
            </w:r>
          </w:p>
          <w:p w:rsidR="000A2A92" w:rsidRPr="001B77ED" w:rsidRDefault="000A2A92" w:rsidP="00681887">
            <w:pPr>
              <w:jc w:val="both"/>
              <w:rPr>
                <w:bCs/>
                <w:sz w:val="16"/>
                <w:szCs w:val="16"/>
              </w:rPr>
            </w:pPr>
          </w:p>
          <w:p w:rsidR="000A2A92" w:rsidRPr="001B77ED" w:rsidRDefault="000A2A92" w:rsidP="00681887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где:</w:t>
            </w:r>
          </w:p>
          <w:p w:rsidR="000A2A92" w:rsidRPr="001B77ED" w:rsidRDefault="000A2A92" w:rsidP="00681887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W</w:t>
            </w:r>
            <w:r w:rsidRPr="001B77ED">
              <w:rPr>
                <w:bCs/>
                <w:sz w:val="16"/>
                <w:szCs w:val="16"/>
              </w:rPr>
              <w:t>- готовность выделенных, категорированных помещений и средств выделенной техники, в процентах;</w:t>
            </w:r>
          </w:p>
          <w:p w:rsidR="000A2A92" w:rsidRPr="001B77ED" w:rsidRDefault="000A2A92" w:rsidP="00681887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Zp</w:t>
            </w:r>
            <w:r w:rsidRPr="001B77ED">
              <w:rPr>
                <w:bCs/>
                <w:sz w:val="16"/>
                <w:szCs w:val="16"/>
              </w:rPr>
              <w:t>- количество выделенных, категорированных помещений и средств выделенной техники, готовых к использованию по предотвращению утечки информации, составляющую государственную тайну;</w:t>
            </w:r>
          </w:p>
          <w:p w:rsidR="000A2A92" w:rsidRPr="001B77ED" w:rsidRDefault="000A2A92" w:rsidP="00681887">
            <w:pPr>
              <w:jc w:val="both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lang w:val="en-US"/>
              </w:rPr>
              <w:t>Zo</w:t>
            </w:r>
            <w:r w:rsidRPr="001B77ED">
              <w:rPr>
                <w:bCs/>
                <w:sz w:val="16"/>
                <w:szCs w:val="16"/>
              </w:rPr>
              <w:t>- общее количество выделенных помещений и средств выделенной техники;</w:t>
            </w:r>
          </w:p>
        </w:tc>
      </w:tr>
      <w:tr w:rsidR="000A2A92" w:rsidRPr="001B77ED" w:rsidTr="00C76D16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1B77ED" w:rsidRDefault="000A2A92" w:rsidP="00C76D16">
            <w:pPr>
              <w:pStyle w:val="Default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11</w:t>
            </w:r>
            <w:r w:rsidRPr="001B77E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7" w:type="pct"/>
            <w:shd w:val="clear" w:color="auto" w:fill="auto"/>
          </w:tcPr>
          <w:p w:rsidR="000A2A92" w:rsidRPr="001B77ED" w:rsidRDefault="000A2A92" w:rsidP="000E067D">
            <w:pPr>
              <w:ind w:firstLine="0"/>
              <w:rPr>
                <w:color w:val="000000"/>
                <w:sz w:val="16"/>
                <w:szCs w:val="16"/>
              </w:rPr>
            </w:pPr>
            <w:r w:rsidRPr="001B77ED">
              <w:rPr>
                <w:color w:val="000000"/>
                <w:sz w:val="16"/>
                <w:szCs w:val="16"/>
              </w:rPr>
              <w:t>Совершенствование мер по предотвращению и предупреждению коррупции</w:t>
            </w:r>
          </w:p>
        </w:tc>
        <w:tc>
          <w:tcPr>
            <w:tcW w:w="3142" w:type="pct"/>
            <w:shd w:val="clear" w:color="auto" w:fill="auto"/>
          </w:tcPr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1B77ED" w:rsidRDefault="000A2A92" w:rsidP="000E067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  <w:u w:val="single"/>
              </w:rPr>
              <w:t>(</w:t>
            </w:r>
            <w:r w:rsidRPr="001B77ED">
              <w:rPr>
                <w:bCs/>
                <w:sz w:val="16"/>
                <w:szCs w:val="16"/>
                <w:u w:val="single"/>
                <w:lang w:val="en-US"/>
              </w:rPr>
              <w:t>P</w:t>
            </w:r>
            <w:r w:rsidRPr="001B77ED">
              <w:rPr>
                <w:bCs/>
                <w:sz w:val="16"/>
                <w:szCs w:val="16"/>
                <w:u w:val="single"/>
              </w:rPr>
              <w:t>15-</w:t>
            </w:r>
            <w:r w:rsidRPr="001B77ED">
              <w:rPr>
                <w:bCs/>
                <w:sz w:val="16"/>
                <w:szCs w:val="16"/>
                <w:u w:val="single"/>
                <w:lang w:val="en-US"/>
              </w:rPr>
              <w:t>PT</w:t>
            </w:r>
            <w:r w:rsidRPr="001B77ED">
              <w:rPr>
                <w:bCs/>
                <w:sz w:val="16"/>
                <w:szCs w:val="16"/>
                <w:u w:val="single"/>
              </w:rPr>
              <w:t xml:space="preserve">) </w:t>
            </w:r>
            <w:r w:rsidRPr="001B77ED">
              <w:rPr>
                <w:bCs/>
                <w:sz w:val="16"/>
                <w:szCs w:val="16"/>
              </w:rPr>
              <w:t>х 100%</w:t>
            </w: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              </w:t>
            </w:r>
            <w:r w:rsidRPr="001B77ED">
              <w:rPr>
                <w:bCs/>
                <w:sz w:val="16"/>
                <w:szCs w:val="16"/>
                <w:lang w:val="en-US"/>
              </w:rPr>
              <w:t>P</w:t>
            </w:r>
            <w:r w:rsidRPr="001B77ED">
              <w:rPr>
                <w:bCs/>
                <w:sz w:val="16"/>
                <w:szCs w:val="16"/>
              </w:rPr>
              <w:t>15</w:t>
            </w: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 xml:space="preserve">               где:</w:t>
            </w: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Р15-количество уголовных дел возбужденных в 2015 году (6 преступлений) коррупционной направленности;</w:t>
            </w: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  <w:r w:rsidRPr="001B77ED">
              <w:rPr>
                <w:bCs/>
                <w:sz w:val="16"/>
                <w:szCs w:val="16"/>
              </w:rPr>
              <w:t>РТ-количество уголовных дел возбужденных в текущем году</w:t>
            </w:r>
          </w:p>
          <w:p w:rsidR="000A2A92" w:rsidRPr="001B77ED" w:rsidRDefault="000A2A92" w:rsidP="000E067D">
            <w:pPr>
              <w:ind w:firstLine="0"/>
              <w:rPr>
                <w:bCs/>
                <w:sz w:val="16"/>
                <w:szCs w:val="16"/>
              </w:rPr>
            </w:pPr>
          </w:p>
        </w:tc>
      </w:tr>
    </w:tbl>
    <w:p w:rsidR="00AE2901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E2901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CE2679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2</w:t>
      </w:r>
    </w:p>
    <w:p w:rsidR="00C314DB" w:rsidRPr="00CE2679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Pr="00CE267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67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2 определяется степенью достижения следующих показателей:</w:t>
      </w:r>
    </w:p>
    <w:p w:rsidR="00C314DB" w:rsidRPr="00CE267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"/>
        <w:gridCol w:w="4998"/>
        <w:gridCol w:w="9289"/>
      </w:tblGrid>
      <w:tr w:rsidR="00C314DB" w:rsidRPr="00C314DB" w:rsidTr="00C314DB">
        <w:trPr>
          <w:trHeight w:val="607"/>
          <w:tblHeader/>
        </w:trPr>
        <w:tc>
          <w:tcPr>
            <w:tcW w:w="169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690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1" w:type="pct"/>
            <w:vAlign w:val="center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690" w:type="pct"/>
          </w:tcPr>
          <w:p w:rsidR="00C314DB" w:rsidRPr="00C314DB" w:rsidRDefault="006442F3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готовности сил и средств муниципального звена территориальной подсистемы Московской областной системы пр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дупреждения и ликвидации чрезвычайных ситуаций природного и техногенного характера относительно нормативной степени готовн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сти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С=А/В*100%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А - количество сотрудников, получивших дополнительную квалификацию;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В – общее количество сотрудников;</w:t>
            </w:r>
          </w:p>
          <w:p w:rsidR="00C314DB" w:rsidRPr="00C314DB" w:rsidRDefault="00C314DB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С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</w:t>
            </w: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690" w:type="pct"/>
          </w:tcPr>
          <w:p w:rsidR="00C314DB" w:rsidRPr="00C314DB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руководящего состава и специалистов мун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ципального звена ТП МОСЧС муниципального района </w:t>
            </w:r>
            <w:r>
              <w:rPr>
                <w:sz w:val="16"/>
                <w:szCs w:val="16"/>
                <w:shd w:val="clear" w:color="auto" w:fill="FFFFFF" w:themeFill="background1"/>
              </w:rPr>
              <w:t>подготовле</w:t>
            </w:r>
            <w:r>
              <w:rPr>
                <w:sz w:val="16"/>
                <w:szCs w:val="16"/>
                <w:shd w:val="clear" w:color="auto" w:fill="FFFFFF" w:themeFill="background1"/>
              </w:rPr>
              <w:t>н</w:t>
            </w:r>
            <w:r>
              <w:rPr>
                <w:sz w:val="16"/>
                <w:szCs w:val="16"/>
                <w:shd w:val="clear" w:color="auto" w:fill="FFFFFF" w:themeFill="background1"/>
              </w:rPr>
              <w:t>ного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 в области защиты от чрезвычайных ситуаций и гражданской обороны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= (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+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>) / К</w:t>
            </w:r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 xml:space="preserve">общ нас. </w:t>
            </w:r>
            <w:r w:rsidRPr="00C314DB">
              <w:rPr>
                <w:rFonts w:eastAsia="Times New Roman"/>
                <w:sz w:val="16"/>
                <w:szCs w:val="16"/>
              </w:rPr>
              <w:t>* 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 xml:space="preserve">А– общий численность </w:t>
            </w:r>
            <w:r w:rsidRPr="00C314DB">
              <w:rPr>
                <w:sz w:val="16"/>
                <w:szCs w:val="16"/>
              </w:rPr>
              <w:t>населения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</w:t>
            </w:r>
            <w:r w:rsidRPr="00C314DB">
              <w:rPr>
                <w:sz w:val="16"/>
                <w:szCs w:val="16"/>
              </w:rPr>
              <w:t>муниципального района обученного в области защиты от чрезвычайных ситуаций и гражданской обороны;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 </w:t>
            </w:r>
            <w:r w:rsidRPr="00C314DB">
              <w:rPr>
                <w:sz w:val="16"/>
                <w:szCs w:val="16"/>
              </w:rPr>
              <w:t xml:space="preserve"> </w:t>
            </w:r>
            <w:r w:rsidRPr="00C314DB">
              <w:rPr>
                <w:rFonts w:eastAsia="Times New Roman"/>
                <w:sz w:val="16"/>
                <w:szCs w:val="16"/>
              </w:rPr>
              <w:t xml:space="preserve">общий численность </w:t>
            </w:r>
            <w:r w:rsidRPr="00C314DB">
              <w:rPr>
                <w:sz w:val="16"/>
                <w:szCs w:val="16"/>
              </w:rPr>
              <w:t>руководящего состава и специалистов муниципального звена ТП МОСЧС муниципального района (горо</w:t>
            </w:r>
            <w:r w:rsidRPr="00C314DB">
              <w:rPr>
                <w:sz w:val="16"/>
                <w:szCs w:val="16"/>
              </w:rPr>
              <w:t>д</w:t>
            </w:r>
            <w:r w:rsidRPr="00C314DB">
              <w:rPr>
                <w:sz w:val="16"/>
                <w:szCs w:val="16"/>
              </w:rPr>
              <w:t>ского округа) обученного в области защиты от чрезвычайных ситуаций и гражданской обороны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К</w:t>
            </w:r>
            <w:r w:rsidRPr="00C314DB">
              <w:rPr>
                <w:rFonts w:eastAsia="Times New Roman"/>
                <w:sz w:val="16"/>
                <w:szCs w:val="16"/>
                <w:vertAlign w:val="subscript"/>
              </w:rPr>
              <w:t>общ нас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общий численность </w:t>
            </w:r>
            <w:r w:rsidRPr="00C314DB">
              <w:rPr>
                <w:sz w:val="16"/>
                <w:szCs w:val="16"/>
              </w:rPr>
              <w:t>населения, зарегистрированного на территории муниципального образования Московской области</w:t>
            </w:r>
            <w:r w:rsidRPr="00C314DB">
              <w:rPr>
                <w:rFonts w:eastAsia="Times New Roman"/>
                <w:sz w:val="16"/>
                <w:szCs w:val="16"/>
              </w:rPr>
              <w:t>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690" w:type="pct"/>
          </w:tcPr>
          <w:p w:rsidR="00C314DB" w:rsidRPr="00C314DB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накопления резервного фонда финансовых, материальных ресурсов муниципал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ного района для ликвидации ЧС муниципального и объектового характера на территории муниципального образования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й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она, умноженного на 100 %, в процентах: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 = Рим / Р норм х 100 %,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 – уровень накопления резервного фонда;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Рим – объем имеющихся резервов, в натур.ед.;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Рнорм – нормативный объем резерва материальных ресурсов, натур.един.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169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Pr="00C314DB">
              <w:rPr>
                <w:sz w:val="16"/>
                <w:szCs w:val="16"/>
              </w:rPr>
              <w:t>для ликвид</w:t>
            </w:r>
            <w:r w:rsidRPr="00C314DB">
              <w:rPr>
                <w:sz w:val="16"/>
                <w:szCs w:val="16"/>
              </w:rPr>
              <w:t>а</w:t>
            </w:r>
            <w:r w:rsidRPr="00C314DB">
              <w:rPr>
                <w:sz w:val="16"/>
                <w:szCs w:val="16"/>
              </w:rPr>
              <w:lastRenderedPageBreak/>
              <w:t>ции чрезвычайных ситуаций, в том числе последствий террористич</w:t>
            </w:r>
            <w:r w:rsidRPr="00C314DB">
              <w:rPr>
                <w:sz w:val="16"/>
                <w:szCs w:val="16"/>
              </w:rPr>
              <w:t>е</w:t>
            </w:r>
            <w:r w:rsidRPr="00C314DB">
              <w:rPr>
                <w:sz w:val="16"/>
                <w:szCs w:val="16"/>
              </w:rPr>
              <w:t>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й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она, умноженного на 100 %, в процентах: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 = Рим / Р норм х 100 %,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Рнак – уровень накопления материального резервного фонда на объектах экономики муниципального образования Московской области 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Рим – объем имеющихся резервов, на объектах экономики муниципального образования Московской области в натур.ед.;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Рнорм – нормативный объем резерва материальных ресурсов, на объектах экономики муниципального образования Московской области натур.един.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6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690" w:type="pct"/>
          </w:tcPr>
          <w:p w:rsidR="002A4DE5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4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C314DB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отчетный период</w:t>
            </w:r>
            <w:r w:rsidRPr="00C314DB">
              <w:rPr>
                <w:rFonts w:eastAsia="Times New Roman"/>
                <w:sz w:val="16"/>
                <w:szCs w:val="16"/>
              </w:rPr>
              <w:t>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C314DB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</w:t>
            </w:r>
            <w:r w:rsidRPr="00C314DB">
              <w:rPr>
                <w:sz w:val="16"/>
                <w:szCs w:val="16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по отношению к 2015 году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690" w:type="pct"/>
          </w:tcPr>
          <w:p w:rsidR="002A4DE5" w:rsidRPr="00644BD0" w:rsidRDefault="002A4DE5" w:rsidP="001F07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организациями, расположенны</w:t>
            </w:r>
            <w:r>
              <w:rPr>
                <w:sz w:val="16"/>
                <w:szCs w:val="16"/>
                <w:shd w:val="clear" w:color="auto" w:fill="FFFFFF" w:themeFill="background1"/>
              </w:rPr>
              <w:t>х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C314DB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</w:t>
            </w:r>
            <w:r w:rsidRPr="00C314DB">
              <w:rPr>
                <w:rFonts w:eastAsia="Times New Roman"/>
                <w:sz w:val="16"/>
                <w:szCs w:val="16"/>
              </w:rPr>
              <w:t>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C314DB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 в 2015 году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– </w:t>
            </w:r>
            <w:r w:rsidRPr="00C314DB">
              <w:rPr>
                <w:sz w:val="16"/>
                <w:szCs w:val="16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690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Py</w:t>
            </w:r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Pb</w:t>
            </w:r>
            <w:r w:rsidRPr="00C314DB">
              <w:rPr>
                <w:sz w:val="16"/>
                <w:szCs w:val="16"/>
              </w:rPr>
              <w:t xml:space="preserve"> + </w:t>
            </w:r>
            <w:r w:rsidRPr="00C314DB">
              <w:rPr>
                <w:sz w:val="16"/>
                <w:szCs w:val="16"/>
                <w:lang w:val="en-US"/>
              </w:rPr>
              <w:t>Ps</w:t>
            </w:r>
            <w:r w:rsidRPr="00C314DB">
              <w:rPr>
                <w:sz w:val="16"/>
                <w:szCs w:val="16"/>
              </w:rPr>
              <w:t>,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C314DB">
              <w:rPr>
                <w:sz w:val="16"/>
                <w:szCs w:val="16"/>
                <w:lang w:val="en-US"/>
              </w:rPr>
              <w:t>Py</w:t>
            </w:r>
            <w:r w:rsidRPr="00C314DB">
              <w:rPr>
                <w:sz w:val="16"/>
                <w:szCs w:val="16"/>
              </w:rPr>
              <w:t xml:space="preserve"> – увеличение количества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C314DB">
              <w:rPr>
                <w:sz w:val="16"/>
                <w:szCs w:val="16"/>
                <w:lang w:val="en-US"/>
              </w:rPr>
              <w:t>Pb</w:t>
            </w:r>
            <w:r w:rsidRPr="00C314DB">
              <w:rPr>
                <w:sz w:val="16"/>
                <w:szCs w:val="16"/>
              </w:rPr>
              <w:t xml:space="preserve"> - количество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Ps</w:t>
            </w:r>
            <w:r w:rsidRPr="00C314DB">
              <w:rPr>
                <w:sz w:val="16"/>
                <w:szCs w:val="16"/>
              </w:rPr>
              <w:t xml:space="preserve"> - количество</w:t>
            </w:r>
            <w:r w:rsidRPr="00C314DB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690" w:type="pct"/>
          </w:tcPr>
          <w:p w:rsidR="002A4DE5" w:rsidRPr="00C314DB" w:rsidRDefault="002A4DE5" w:rsidP="00ED03DF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>Снижение количества погибших людей на водных объектах из числа постоянно зарегистрированных на территории муниципального ра</w:t>
            </w: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 xml:space="preserve">она. 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= 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п/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общее*100%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– доля утонувших и травмированных людей на водных объектах, зарегистрированных на территории муниципального образов</w:t>
            </w:r>
            <w:r w:rsidRPr="00C314DB">
              <w:rPr>
                <w:color w:val="000000"/>
                <w:sz w:val="16"/>
                <w:szCs w:val="16"/>
              </w:rPr>
              <w:t>а</w:t>
            </w:r>
            <w:r w:rsidRPr="00C314DB">
              <w:rPr>
                <w:color w:val="000000"/>
                <w:sz w:val="16"/>
                <w:szCs w:val="16"/>
              </w:rPr>
              <w:t>ния;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Кп– количество утонувших и травмированных людей на водных объектах зарегистрированных на территории муниципального образования в текущий период;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Кобщее–общее число погибших и травмированных людей </w:t>
            </w:r>
            <w:r w:rsidRPr="00C314DB">
              <w:rPr>
                <w:color w:val="000000"/>
                <w:sz w:val="16"/>
                <w:szCs w:val="16"/>
              </w:rPr>
              <w:t>зарегистрированных на территории муниципального образования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за отчетный период 2015  года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690" w:type="pct"/>
          </w:tcPr>
          <w:p w:rsidR="002A4DE5" w:rsidRPr="00C314DB" w:rsidRDefault="002A4DE5" w:rsidP="002A4DE5">
            <w:pPr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Снижение гибели и травматизма в местах массового отдыха людей муниципального района на водных объектах 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= 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п/</w:t>
            </w:r>
            <w:r w:rsidRPr="00C314DB">
              <w:rPr>
                <w:color w:val="000000"/>
                <w:sz w:val="16"/>
                <w:szCs w:val="16"/>
                <w:lang w:val="en-US"/>
              </w:rPr>
              <w:t>K</w:t>
            </w:r>
            <w:r w:rsidRPr="00C314DB">
              <w:rPr>
                <w:color w:val="000000"/>
                <w:sz w:val="16"/>
                <w:szCs w:val="16"/>
              </w:rPr>
              <w:t>общее*100%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color w:val="000000"/>
                <w:sz w:val="16"/>
                <w:szCs w:val="16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2A4DE5" w:rsidRPr="00C314DB" w:rsidRDefault="002A4DE5" w:rsidP="00C314DB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Кп– количество утонувших и травмированных людей на водных объектах в текущий период;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Кобщее–общее число погибших и травмированных людей на территории муниципального образования в 2015  году</w:t>
            </w:r>
          </w:p>
        </w:tc>
      </w:tr>
      <w:tr w:rsidR="002A4DE5" w:rsidRPr="00C314DB" w:rsidTr="00C314DB"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690" w:type="pct"/>
          </w:tcPr>
          <w:p w:rsidR="002A4DE5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Процент населения муниципального района  обученного, прежде всего детей, плаванию и приемам спасения на воде.</w:t>
            </w:r>
          </w:p>
          <w:p w:rsidR="002A4DE5" w:rsidRPr="00C314DB" w:rsidRDefault="002A4DE5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C314DB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Значение показателя рассчитывается по формуле: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>=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C314DB">
              <w:rPr>
                <w:rFonts w:eastAsia="Times New Roman"/>
                <w:sz w:val="16"/>
                <w:szCs w:val="16"/>
              </w:rPr>
              <w:t>/</w:t>
            </w: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>*100%, где: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lastRenderedPageBreak/>
              <w:t>A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C314DB">
              <w:rPr>
                <w:rFonts w:eastAsia="Times New Roman"/>
                <w:sz w:val="16"/>
                <w:szCs w:val="16"/>
              </w:rPr>
              <w:t>– общая численность населения муниципального образования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C314DB">
              <w:rPr>
                <w:rFonts w:eastAsia="Times New Roman"/>
                <w:sz w:val="16"/>
                <w:szCs w:val="16"/>
              </w:rPr>
              <w:t xml:space="preserve"> – процент населения муниципального образования </w:t>
            </w:r>
            <w:r w:rsidRPr="00C314DB">
              <w:rPr>
                <w:sz w:val="16"/>
                <w:szCs w:val="16"/>
              </w:rPr>
              <w:t>Московской области, прежде всего детей, обученных плаванию и приемам спасения на воде</w:t>
            </w:r>
          </w:p>
        </w:tc>
      </w:tr>
      <w:tr w:rsidR="002A4DE5" w:rsidRPr="00C314DB" w:rsidTr="00C314DB">
        <w:trPr>
          <w:trHeight w:val="362"/>
        </w:trPr>
        <w:tc>
          <w:tcPr>
            <w:tcW w:w="169" w:type="pct"/>
          </w:tcPr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690" w:type="pct"/>
          </w:tcPr>
          <w:p w:rsidR="002A4DE5" w:rsidRPr="00C314DB" w:rsidRDefault="002A4DE5" w:rsidP="002A4DE5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ких экстренных оперативных служб на обращения населения по единому номеру «112» на территории Сергиево-Посадского муниц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пального района</w:t>
            </w:r>
          </w:p>
        </w:tc>
        <w:tc>
          <w:tcPr>
            <w:tcW w:w="3141" w:type="pct"/>
          </w:tcPr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С = Ттек/Тисх х 100%,  где: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2A4DE5" w:rsidRPr="00C314DB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Ттек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2A4DE5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Тисх- среднее времени совместного реагирования нескольких экстренных оперативных служб до введения  в эксплуатацию сист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мы обеспечения вызова по единому номеру «112» .</w:t>
            </w:r>
          </w:p>
        </w:tc>
      </w:tr>
    </w:tbl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ED03DF" w:rsidRDefault="00ED03DF">
      <w:pPr>
        <w:spacing w:after="200"/>
        <w:ind w:firstLine="0"/>
        <w:rPr>
          <w:rFonts w:eastAsiaTheme="minorEastAsia"/>
          <w:sz w:val="16"/>
          <w:szCs w:val="16"/>
          <w:lang w:eastAsia="ru-RU"/>
        </w:rPr>
      </w:pPr>
      <w:r>
        <w:rPr>
          <w:rFonts w:eastAsiaTheme="minorEastAsia"/>
          <w:sz w:val="16"/>
          <w:szCs w:val="16"/>
          <w:lang w:eastAsia="ru-RU"/>
        </w:rPr>
        <w:br w:type="page"/>
      </w: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057B89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3</w:t>
      </w:r>
    </w:p>
    <w:p w:rsidR="00AE2901" w:rsidRPr="00057B89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B8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3 определяется степенью достижения следующих показателей:</w:t>
      </w:r>
    </w:p>
    <w:p w:rsidR="00C314DB" w:rsidRPr="00057B89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4646"/>
        <w:gridCol w:w="9638"/>
      </w:tblGrid>
      <w:tr w:rsidR="00C314DB" w:rsidRPr="00C314DB" w:rsidTr="00C314DB">
        <w:trPr>
          <w:trHeight w:val="842"/>
          <w:tblHeader/>
        </w:trPr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71" w:type="pct"/>
          </w:tcPr>
          <w:p w:rsidR="00C314DB" w:rsidRPr="00C314DB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4B0328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чайных ситуациях или угрозе их возникновения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оха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нас х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– охват населения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C314DB">
              <w:rPr>
                <w:sz w:val="16"/>
                <w:szCs w:val="16"/>
              </w:rPr>
              <w:t>централизованным оповещением и информированием в процентах;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оха – количество населения, находящегося в зоне воздействия средств информирования и оповещения, тыс. чел.;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нас – количество населения, проживающего в населенном пункте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>муниципального образования</w:t>
            </w:r>
            <w:r w:rsidRPr="00C314DB">
              <w:rPr>
                <w:sz w:val="16"/>
                <w:szCs w:val="16"/>
              </w:rPr>
              <w:t>, тыс. чел.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14D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</w:t>
            </w:r>
          </w:p>
          <w:p w:rsidR="00C314DB" w:rsidRPr="00C314DB" w:rsidRDefault="00C314DB" w:rsidP="00C31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осс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оу х 100%,где: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оха – количество ОУ и ДДС, оснащенных современными техническими средствами, шт.;</w:t>
            </w:r>
          </w:p>
          <w:p w:rsidR="00C314DB" w:rsidRPr="00C314DB" w:rsidRDefault="00C314DB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нас – количество ОУ и ДДС ПОО, АСС и НАСФ, в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>муниципально</w:t>
            </w:r>
            <w:r w:rsidR="002A4DE5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 образовани</w:t>
            </w:r>
            <w:r w:rsidR="002A4DE5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C314DB">
              <w:rPr>
                <w:sz w:val="16"/>
                <w:szCs w:val="16"/>
              </w:rPr>
              <w:t>, шт.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71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Повышение процента охвата населения, проживающего в сел</w:t>
            </w:r>
            <w:r w:rsidRPr="00C314DB">
              <w:rPr>
                <w:sz w:val="16"/>
                <w:szCs w:val="16"/>
              </w:rPr>
              <w:t>ь</w:t>
            </w:r>
            <w:r w:rsidR="002A4DE5">
              <w:rPr>
                <w:sz w:val="16"/>
                <w:szCs w:val="16"/>
              </w:rPr>
              <w:t>ских населенных пунктах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 xml:space="preserve">сп =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 xml:space="preserve">охасп / </w:t>
            </w: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нас х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P</w:t>
            </w:r>
            <w:r w:rsidRPr="00C314DB">
              <w:rPr>
                <w:sz w:val="16"/>
                <w:szCs w:val="16"/>
              </w:rPr>
              <w:t>сп – охват населения Московской области, проживающего в сельских   централизованным оповещением и информированием в проце</w:t>
            </w:r>
            <w:r w:rsidRPr="00C314DB">
              <w:rPr>
                <w:sz w:val="16"/>
                <w:szCs w:val="16"/>
              </w:rPr>
              <w:t>н</w:t>
            </w:r>
            <w:r w:rsidRPr="00C314DB">
              <w:rPr>
                <w:sz w:val="16"/>
                <w:szCs w:val="16"/>
              </w:rPr>
              <w:t>тах;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охасп– количество населения, проживающего в сельских населенных пунктах, находящегося в зоне воздействия средств информир</w:t>
            </w:r>
            <w:r w:rsidRPr="00C314DB">
              <w:rPr>
                <w:sz w:val="16"/>
                <w:szCs w:val="16"/>
              </w:rPr>
              <w:t>о</w:t>
            </w:r>
            <w:r w:rsidRPr="00C314DB">
              <w:rPr>
                <w:sz w:val="16"/>
                <w:szCs w:val="16"/>
              </w:rPr>
              <w:t>вания и оповещения, тыс. чел.;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N</w:t>
            </w:r>
            <w:r w:rsidRPr="00C314DB">
              <w:rPr>
                <w:sz w:val="16"/>
                <w:szCs w:val="16"/>
              </w:rPr>
              <w:t>нассп – количество населения, проживающего в сельских населенных пунктах, тыс. чел.</w:t>
            </w:r>
          </w:p>
        </w:tc>
      </w:tr>
      <w:tr w:rsidR="00C314DB" w:rsidRPr="00C314DB" w:rsidTr="00C314DB">
        <w:tc>
          <w:tcPr>
            <w:tcW w:w="170" w:type="pct"/>
          </w:tcPr>
          <w:p w:rsidR="00C314DB" w:rsidRPr="00C314DB" w:rsidRDefault="00ED03DF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4. </w:t>
            </w:r>
          </w:p>
        </w:tc>
        <w:tc>
          <w:tcPr>
            <w:tcW w:w="1571" w:type="pct"/>
          </w:tcPr>
          <w:p w:rsidR="00C314DB" w:rsidRPr="002A4DE5" w:rsidRDefault="002A4DE5" w:rsidP="002A4D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площади территории муниципального района Мо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ковской области покрытой комплексной системой «Без</w:t>
            </w:r>
            <w:r>
              <w:rPr>
                <w:sz w:val="16"/>
                <w:szCs w:val="16"/>
                <w:shd w:val="clear" w:color="auto" w:fill="FFFFFF" w:themeFill="background1"/>
              </w:rPr>
              <w:t>опасный город»</w:t>
            </w:r>
          </w:p>
        </w:tc>
        <w:tc>
          <w:tcPr>
            <w:tcW w:w="3259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Методика расчета данного показателя будет определена после утверждения концепции развития АПК «Безопасный город» на террит</w:t>
            </w:r>
            <w:r w:rsidRPr="00C314DB">
              <w:rPr>
                <w:sz w:val="16"/>
                <w:szCs w:val="16"/>
              </w:rPr>
              <w:t>о</w:t>
            </w:r>
            <w:r w:rsidRPr="00C314DB">
              <w:rPr>
                <w:sz w:val="16"/>
                <w:szCs w:val="16"/>
              </w:rPr>
              <w:t xml:space="preserve">рии </w:t>
            </w:r>
            <w:r w:rsidR="002A4DE5" w:rsidRPr="004B0328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C314DB">
              <w:rPr>
                <w:sz w:val="16"/>
                <w:szCs w:val="16"/>
              </w:rPr>
              <w:t>Московской области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2901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03DF" w:rsidRDefault="00ED03DF">
      <w:pPr>
        <w:spacing w:after="200"/>
        <w:ind w:firstLine="0"/>
        <w:rPr>
          <w:rFonts w:eastAsiaTheme="minorEastAsia"/>
          <w:b/>
          <w:color w:val="000000"/>
          <w:lang w:eastAsia="ru-RU"/>
        </w:rPr>
      </w:pPr>
      <w:r>
        <w:rPr>
          <w:b/>
          <w:color w:val="000000"/>
        </w:rPr>
        <w:br w:type="page"/>
      </w:r>
    </w:p>
    <w:p w:rsidR="00AE2901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14DB" w:rsidRPr="00AE186E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AE186E">
        <w:rPr>
          <w:rFonts w:ascii="Times New Roman" w:hAnsi="Times New Roman" w:cs="Times New Roman"/>
          <w:b/>
          <w:color w:val="000000"/>
          <w:sz w:val="28"/>
          <w:szCs w:val="28"/>
        </w:rPr>
        <w:t>етодика расчета значений показателей эффективности реализации подпрограммы 4</w:t>
      </w:r>
    </w:p>
    <w:p w:rsidR="00C314DB" w:rsidRPr="00AE186E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186E">
        <w:rPr>
          <w:rFonts w:ascii="Times New Roman" w:hAnsi="Times New Roman" w:cs="Times New Roman"/>
          <w:color w:val="000000"/>
          <w:sz w:val="28"/>
          <w:szCs w:val="28"/>
        </w:rPr>
        <w:t>Эффективность реализации подпрограммы 4 определяется степенью достижения следующих показателей:</w:t>
      </w:r>
    </w:p>
    <w:p w:rsid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4DB" w:rsidRPr="00AE186E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14DB" w:rsidRPr="00DC5570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4510"/>
        <w:gridCol w:w="9750"/>
      </w:tblGrid>
      <w:tr w:rsidR="00C314DB" w:rsidRPr="00C314DB" w:rsidTr="00C314DB">
        <w:trPr>
          <w:trHeight w:val="363"/>
          <w:tblHeader/>
        </w:trPr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25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25" w:type="pct"/>
          </w:tcPr>
          <w:p w:rsidR="002A4DE5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пожаров, произошедших на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Сергиево-Посадского 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муниципального района  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вому показателю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С =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тек. /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  х 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С – процент снижения количества пожаров;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 тек. – количество пожаров в общем числе происшествий и чрезвычайных ситуаций в текущем периоде;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баз. - количество пожаров зарегистрированных в Росстате в базовый период 2015 год (за отчетный период)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25" w:type="pct"/>
          </w:tcPr>
          <w:p w:rsidR="002A4DE5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 xml:space="preserve">С =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тек. / </w:t>
            </w: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  х  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С – снижение доли погибших и травмированных людей на пожарах;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 xml:space="preserve"> тек. – количество погибших и травмированных людей на пожарах на территории Московской области в общем числе погибших и тра</w:t>
            </w:r>
            <w:r w:rsidRPr="00C314DB">
              <w:rPr>
                <w:sz w:val="16"/>
                <w:szCs w:val="16"/>
              </w:rPr>
              <w:t>в</w:t>
            </w:r>
            <w:r w:rsidRPr="00C314DB">
              <w:rPr>
                <w:sz w:val="16"/>
                <w:szCs w:val="16"/>
              </w:rPr>
              <w:t>мированных в отчетном периоде;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  <w:lang w:val="en-US"/>
              </w:rPr>
              <w:t>D</w:t>
            </w:r>
            <w:r w:rsidRPr="00C314DB">
              <w:rPr>
                <w:sz w:val="16"/>
                <w:szCs w:val="16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 2015 год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314DB" w:rsidRPr="00C314DB" w:rsidTr="00C314DB">
        <w:tc>
          <w:tcPr>
            <w:tcW w:w="178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25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</w:t>
            </w:r>
            <w:r w:rsidRPr="00C314DB">
              <w:rPr>
                <w:rFonts w:eastAsia="Times New Roman"/>
                <w:sz w:val="16"/>
                <w:szCs w:val="16"/>
              </w:rPr>
              <w:t>о</w:t>
            </w:r>
            <w:r w:rsidRPr="00C314DB">
              <w:rPr>
                <w:rFonts w:eastAsia="Times New Roman"/>
                <w:sz w:val="16"/>
                <w:szCs w:val="16"/>
              </w:rPr>
              <w:t>личества для муниципального образования МО</w:t>
            </w:r>
          </w:p>
        </w:tc>
        <w:tc>
          <w:tcPr>
            <w:tcW w:w="3297" w:type="pct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Р=А/В*100% где: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314DB">
              <w:rPr>
                <w:sz w:val="16"/>
                <w:szCs w:val="16"/>
              </w:rPr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3DF" w:rsidRDefault="00ED03DF">
      <w:pPr>
        <w:spacing w:after="200"/>
        <w:ind w:firstLine="0"/>
        <w:rPr>
          <w:rFonts w:eastAsiaTheme="minorEastAsia"/>
          <w:b/>
          <w:lang w:eastAsia="ru-RU"/>
        </w:rPr>
      </w:pPr>
      <w:r>
        <w:rPr>
          <w:b/>
        </w:rPr>
        <w:br w:type="page"/>
      </w:r>
    </w:p>
    <w:p w:rsidR="00AE2901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DB" w:rsidRPr="00C314DB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4DB">
        <w:rPr>
          <w:rFonts w:ascii="Times New Roman" w:hAnsi="Times New Roman" w:cs="Times New Roman"/>
          <w:b/>
          <w:color w:val="000000"/>
          <w:sz w:val="24"/>
          <w:szCs w:val="24"/>
        </w:rPr>
        <w:t>Методика расчета значений показателей эффективности реализации подпрограммы 5</w:t>
      </w:r>
    </w:p>
    <w:p w:rsidR="00C314DB" w:rsidRPr="00C314DB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4DB" w:rsidRPr="00C314DB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4DB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5 определяется степенью достижения следующих показателей:</w:t>
      </w:r>
    </w:p>
    <w:p w:rsidR="00C314DB" w:rsidRPr="00140D3E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4627"/>
        <w:gridCol w:w="10001"/>
      </w:tblGrid>
      <w:tr w:rsidR="00C314DB" w:rsidRPr="00C314DB" w:rsidTr="00446105">
        <w:trPr>
          <w:trHeight w:val="842"/>
          <w:tblHeader/>
        </w:trPr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627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314DB" w:rsidRPr="00C314DB" w:rsidTr="00E07308"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Фактическая оснащенность резерва определяется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Y=F/N*100%, где: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N– количество имущества по нормам обеспечения</w:t>
            </w:r>
          </w:p>
        </w:tc>
      </w:tr>
      <w:tr w:rsidR="00C314DB" w:rsidRPr="00C314DB" w:rsidTr="00E07308">
        <w:tc>
          <w:tcPr>
            <w:tcW w:w="540" w:type="dxa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C314D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Увеличение степени готовности ЗСГО по отношению к име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ю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>щемуся фонду ЗСГО</w:t>
            </w:r>
          </w:p>
        </w:tc>
        <w:tc>
          <w:tcPr>
            <w:tcW w:w="10001" w:type="dxa"/>
          </w:tcPr>
          <w:p w:rsidR="00C314DB" w:rsidRPr="00C314DB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314DB">
              <w:rPr>
                <w:color w:val="000000"/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P = С-В /А*100%, С= (Е+</w:t>
            </w:r>
            <w:r w:rsidRPr="00C314DB">
              <w:rPr>
                <w:rFonts w:eastAsia="Times New Roman"/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)где: 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P – процент степени готовности имеющегося фонда ЗСГО;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А – общее количество ЗСГО имеющихся на территории муниципального образования;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В – количество ЗСГО оцененных как «Не готово»;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  <w:lang w:val="en-US"/>
              </w:rPr>
              <w:t>D</w:t>
            </w:r>
            <w:r w:rsidRPr="00C314DB">
              <w:rPr>
                <w:rFonts w:eastAsia="Times New Roman"/>
                <w:color w:val="000000"/>
                <w:sz w:val="16"/>
                <w:szCs w:val="16"/>
              </w:rPr>
              <w:t xml:space="preserve"> – количество ЗСГО оцененных как «Ограниченно готово»;</w:t>
            </w:r>
          </w:p>
          <w:p w:rsidR="00C314DB" w:rsidRPr="00C314DB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color w:val="000000"/>
                <w:sz w:val="16"/>
                <w:szCs w:val="16"/>
              </w:rPr>
            </w:pPr>
            <w:r w:rsidRPr="00C314DB">
              <w:rPr>
                <w:rFonts w:eastAsia="Times New Roman"/>
                <w:color w:val="000000"/>
                <w:sz w:val="16"/>
                <w:szCs w:val="16"/>
              </w:rPr>
              <w:t>Е – количество ЗСГО оцененных как «Готово».</w:t>
            </w:r>
          </w:p>
        </w:tc>
      </w:tr>
    </w:tbl>
    <w:p w:rsidR="00C314DB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Pr="00AD09E9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sectPr w:rsidR="00AD09E9" w:rsidRPr="00AD09E9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CA" w:rsidRDefault="00AE63CA" w:rsidP="00F7677C">
      <w:pPr>
        <w:spacing w:line="240" w:lineRule="auto"/>
      </w:pPr>
      <w:r>
        <w:separator/>
      </w:r>
    </w:p>
  </w:endnote>
  <w:endnote w:type="continuationSeparator" w:id="0">
    <w:p w:rsidR="00AE63CA" w:rsidRDefault="00AE63CA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35F" w:rsidRDefault="0088735F">
    <w:pPr>
      <w:pStyle w:val="a9"/>
    </w:pPr>
    <w:r>
      <w:t>Пост.</w:t>
    </w:r>
    <w:r w:rsidR="00A84DAD">
      <w:t xml:space="preserve"> </w:t>
    </w:r>
    <w:r w:rsidR="004C2D0E"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CA" w:rsidRDefault="00AE63CA" w:rsidP="00F7677C">
      <w:pPr>
        <w:spacing w:line="240" w:lineRule="auto"/>
      </w:pPr>
      <w:r>
        <w:separator/>
      </w:r>
    </w:p>
  </w:footnote>
  <w:footnote w:type="continuationSeparator" w:id="0">
    <w:p w:rsidR="00AE63CA" w:rsidRDefault="00AE63CA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</w:p>
      <w:p w:rsidR="0088735F" w:rsidRDefault="0088735F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D0E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27D4E"/>
    <w:rsid w:val="00071941"/>
    <w:rsid w:val="00091B2E"/>
    <w:rsid w:val="000A065F"/>
    <w:rsid w:val="000A2A92"/>
    <w:rsid w:val="000C350A"/>
    <w:rsid w:val="000C79D2"/>
    <w:rsid w:val="000D0DB1"/>
    <w:rsid w:val="000D1B87"/>
    <w:rsid w:val="000F2A5D"/>
    <w:rsid w:val="0010056B"/>
    <w:rsid w:val="00101B13"/>
    <w:rsid w:val="00111414"/>
    <w:rsid w:val="00113566"/>
    <w:rsid w:val="00115599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81124"/>
    <w:rsid w:val="00194755"/>
    <w:rsid w:val="001B035E"/>
    <w:rsid w:val="001B0AF4"/>
    <w:rsid w:val="001B1574"/>
    <w:rsid w:val="001B56AC"/>
    <w:rsid w:val="001B77ED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A1E66"/>
    <w:rsid w:val="002A4DE5"/>
    <w:rsid w:val="002B45B5"/>
    <w:rsid w:val="002F789E"/>
    <w:rsid w:val="0030027C"/>
    <w:rsid w:val="003225D7"/>
    <w:rsid w:val="00330E03"/>
    <w:rsid w:val="00347B4C"/>
    <w:rsid w:val="0036586E"/>
    <w:rsid w:val="00365D85"/>
    <w:rsid w:val="00375370"/>
    <w:rsid w:val="00393526"/>
    <w:rsid w:val="00396672"/>
    <w:rsid w:val="003A6D7F"/>
    <w:rsid w:val="003B0361"/>
    <w:rsid w:val="003B121A"/>
    <w:rsid w:val="003C327D"/>
    <w:rsid w:val="003C4FCE"/>
    <w:rsid w:val="003C54E4"/>
    <w:rsid w:val="003C75D5"/>
    <w:rsid w:val="003D3B1C"/>
    <w:rsid w:val="003D3C1D"/>
    <w:rsid w:val="003F6189"/>
    <w:rsid w:val="00402866"/>
    <w:rsid w:val="00446969"/>
    <w:rsid w:val="00456A6F"/>
    <w:rsid w:val="00462A54"/>
    <w:rsid w:val="00477E1D"/>
    <w:rsid w:val="004853F5"/>
    <w:rsid w:val="00492B20"/>
    <w:rsid w:val="00495839"/>
    <w:rsid w:val="00496B34"/>
    <w:rsid w:val="004B5F62"/>
    <w:rsid w:val="004C14EC"/>
    <w:rsid w:val="004C2D0E"/>
    <w:rsid w:val="004E242E"/>
    <w:rsid w:val="004E4C42"/>
    <w:rsid w:val="004E53DE"/>
    <w:rsid w:val="00507F9E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31FEA"/>
    <w:rsid w:val="0063457F"/>
    <w:rsid w:val="0063618F"/>
    <w:rsid w:val="006442F3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109A"/>
    <w:rsid w:val="006A7FCB"/>
    <w:rsid w:val="006E14B2"/>
    <w:rsid w:val="006E42DC"/>
    <w:rsid w:val="006F2237"/>
    <w:rsid w:val="006F655D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80428"/>
    <w:rsid w:val="0078519C"/>
    <w:rsid w:val="00791CED"/>
    <w:rsid w:val="007928CE"/>
    <w:rsid w:val="007A364A"/>
    <w:rsid w:val="007A51DD"/>
    <w:rsid w:val="007D3BAB"/>
    <w:rsid w:val="008141BC"/>
    <w:rsid w:val="00816173"/>
    <w:rsid w:val="00830488"/>
    <w:rsid w:val="008309E4"/>
    <w:rsid w:val="00863865"/>
    <w:rsid w:val="008647AB"/>
    <w:rsid w:val="00864CBD"/>
    <w:rsid w:val="00872BE0"/>
    <w:rsid w:val="00881FE9"/>
    <w:rsid w:val="008869D4"/>
    <w:rsid w:val="0088735F"/>
    <w:rsid w:val="00891C5C"/>
    <w:rsid w:val="00896DC8"/>
    <w:rsid w:val="008A46AD"/>
    <w:rsid w:val="008A5E07"/>
    <w:rsid w:val="008A6FB0"/>
    <w:rsid w:val="008B153B"/>
    <w:rsid w:val="008C5B31"/>
    <w:rsid w:val="008E7564"/>
    <w:rsid w:val="0090072E"/>
    <w:rsid w:val="00900919"/>
    <w:rsid w:val="00924584"/>
    <w:rsid w:val="00933ACC"/>
    <w:rsid w:val="00944C8A"/>
    <w:rsid w:val="00953197"/>
    <w:rsid w:val="00972D22"/>
    <w:rsid w:val="009771E4"/>
    <w:rsid w:val="00992EB9"/>
    <w:rsid w:val="009A6D02"/>
    <w:rsid w:val="009E2E24"/>
    <w:rsid w:val="009E30EF"/>
    <w:rsid w:val="009F350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4B2C"/>
    <w:rsid w:val="00A75A36"/>
    <w:rsid w:val="00A84DAD"/>
    <w:rsid w:val="00A8510E"/>
    <w:rsid w:val="00AA3A3B"/>
    <w:rsid w:val="00AA6995"/>
    <w:rsid w:val="00AA72DF"/>
    <w:rsid w:val="00AC1F80"/>
    <w:rsid w:val="00AC2323"/>
    <w:rsid w:val="00AC73D2"/>
    <w:rsid w:val="00AD09E9"/>
    <w:rsid w:val="00AD5837"/>
    <w:rsid w:val="00AD5AA5"/>
    <w:rsid w:val="00AE2901"/>
    <w:rsid w:val="00AE63CA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9656D"/>
    <w:rsid w:val="00B97B50"/>
    <w:rsid w:val="00BA08F3"/>
    <w:rsid w:val="00BA7763"/>
    <w:rsid w:val="00BD42C0"/>
    <w:rsid w:val="00BD671D"/>
    <w:rsid w:val="00BE2C68"/>
    <w:rsid w:val="00BE6F7E"/>
    <w:rsid w:val="00BF70B5"/>
    <w:rsid w:val="00C01175"/>
    <w:rsid w:val="00C30BDF"/>
    <w:rsid w:val="00C314DB"/>
    <w:rsid w:val="00C34D85"/>
    <w:rsid w:val="00C53688"/>
    <w:rsid w:val="00C57B31"/>
    <w:rsid w:val="00C665A4"/>
    <w:rsid w:val="00C77291"/>
    <w:rsid w:val="00C85148"/>
    <w:rsid w:val="00C85774"/>
    <w:rsid w:val="00CA29A7"/>
    <w:rsid w:val="00CB0363"/>
    <w:rsid w:val="00CC08F6"/>
    <w:rsid w:val="00CD3205"/>
    <w:rsid w:val="00D1619E"/>
    <w:rsid w:val="00D36C02"/>
    <w:rsid w:val="00D371EA"/>
    <w:rsid w:val="00D61C0F"/>
    <w:rsid w:val="00D67BDE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07308"/>
    <w:rsid w:val="00E15520"/>
    <w:rsid w:val="00E17764"/>
    <w:rsid w:val="00E21C89"/>
    <w:rsid w:val="00E23A6B"/>
    <w:rsid w:val="00E27125"/>
    <w:rsid w:val="00E279F0"/>
    <w:rsid w:val="00E362AE"/>
    <w:rsid w:val="00E51FE8"/>
    <w:rsid w:val="00E86C09"/>
    <w:rsid w:val="00E90465"/>
    <w:rsid w:val="00EA5DF9"/>
    <w:rsid w:val="00EB038D"/>
    <w:rsid w:val="00EB0F2E"/>
    <w:rsid w:val="00EB6A77"/>
    <w:rsid w:val="00ED03DF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8141A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6E418-5B25-40E7-83EB-034A8A49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3028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2</cp:revision>
  <cp:lastPrinted>2016-12-23T07:34:00Z</cp:lastPrinted>
  <dcterms:created xsi:type="dcterms:W3CDTF">2017-08-14T05:38:00Z</dcterms:created>
  <dcterms:modified xsi:type="dcterms:W3CDTF">2017-08-14T05:38:00Z</dcterms:modified>
</cp:coreProperties>
</file>