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35F8B">
        <w:rPr>
          <w:color w:val="000000"/>
          <w:spacing w:val="1"/>
          <w:sz w:val="24"/>
          <w:szCs w:val="24"/>
        </w:rPr>
        <w:t>20.03.</w:t>
      </w:r>
      <w:r w:rsidR="008F1BC8" w:rsidRPr="00282485">
        <w:rPr>
          <w:color w:val="000000"/>
          <w:spacing w:val="1"/>
          <w:sz w:val="24"/>
          <w:szCs w:val="24"/>
        </w:rPr>
        <w:t>201</w:t>
      </w:r>
      <w:r w:rsidR="00722BD7">
        <w:rPr>
          <w:color w:val="000000"/>
          <w:spacing w:val="1"/>
          <w:sz w:val="24"/>
          <w:szCs w:val="24"/>
        </w:rPr>
        <w:t>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835F8B">
        <w:rPr>
          <w:color w:val="000000"/>
          <w:spacing w:val="1"/>
          <w:sz w:val="24"/>
          <w:szCs w:val="24"/>
        </w:rPr>
        <w:t>569-ПГ</w:t>
      </w:r>
      <w:bookmarkStart w:id="0" w:name="_GoBack"/>
      <w:bookmarkEnd w:id="0"/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368A5" w:rsidRPr="00282485" w:rsidTr="00C368A5">
        <w:trPr>
          <w:trHeight w:val="531"/>
        </w:trPr>
        <w:tc>
          <w:tcPr>
            <w:tcW w:w="4928" w:type="dxa"/>
            <w:shd w:val="clear" w:color="auto" w:fill="auto"/>
          </w:tcPr>
          <w:p w:rsidR="00C368A5" w:rsidRPr="00282485" w:rsidRDefault="00C368A5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973 944,83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264 180,70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161 410,20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144 188,00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5 500,00</w:t>
            </w:r>
          </w:p>
        </w:tc>
      </w:tr>
      <w:tr w:rsidR="00C368A5" w:rsidRPr="00282485" w:rsidTr="00C368A5">
        <w:trPr>
          <w:trHeight w:val="425"/>
        </w:trPr>
        <w:tc>
          <w:tcPr>
            <w:tcW w:w="4928" w:type="dxa"/>
            <w:shd w:val="clear" w:color="auto" w:fill="auto"/>
          </w:tcPr>
          <w:p w:rsidR="00C368A5" w:rsidRPr="00282485" w:rsidRDefault="00C368A5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584 125,90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163 017,90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138 651,00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134 357,00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0,00</w:t>
            </w:r>
          </w:p>
        </w:tc>
      </w:tr>
      <w:tr w:rsidR="00C368A5" w:rsidRPr="00282485" w:rsidTr="00C368A5">
        <w:trPr>
          <w:trHeight w:val="417"/>
        </w:trPr>
        <w:tc>
          <w:tcPr>
            <w:tcW w:w="4928" w:type="dxa"/>
            <w:shd w:val="clear" w:color="auto" w:fill="auto"/>
          </w:tcPr>
          <w:p w:rsidR="00C368A5" w:rsidRPr="00282485" w:rsidRDefault="00C368A5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 xml:space="preserve">Средства бюджета Сергиево-Посадского </w:t>
            </w:r>
            <w:r w:rsidRPr="00282485">
              <w:rPr>
                <w:rFonts w:eastAsia="Calibri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lastRenderedPageBreak/>
              <w:t>322 364,73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88 208,60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15 609,20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4 331,00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0,00</w:t>
            </w:r>
          </w:p>
        </w:tc>
      </w:tr>
      <w:tr w:rsidR="00C368A5" w:rsidRPr="00282485" w:rsidTr="00C368A5">
        <w:trPr>
          <w:trHeight w:val="423"/>
        </w:trPr>
        <w:tc>
          <w:tcPr>
            <w:tcW w:w="4928" w:type="dxa"/>
            <w:shd w:val="clear" w:color="auto" w:fill="auto"/>
          </w:tcPr>
          <w:p w:rsidR="00C368A5" w:rsidRPr="00282485" w:rsidRDefault="00C368A5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1 304,20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804,20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0,00</w:t>
            </w:r>
          </w:p>
        </w:tc>
      </w:tr>
      <w:tr w:rsidR="00C368A5" w:rsidRPr="00282485" w:rsidTr="00C368A5">
        <w:trPr>
          <w:trHeight w:val="423"/>
        </w:trPr>
        <w:tc>
          <w:tcPr>
            <w:tcW w:w="4928" w:type="dxa"/>
            <w:shd w:val="clear" w:color="auto" w:fill="auto"/>
          </w:tcPr>
          <w:p w:rsidR="00C368A5" w:rsidRPr="00282485" w:rsidRDefault="00C368A5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Государственной программой Московской области «Развитие </w:t>
      </w:r>
      <w:r w:rsidR="00E4353A" w:rsidRPr="00282485">
        <w:rPr>
          <w:sz w:val="24"/>
          <w:szCs w:val="24"/>
        </w:rPr>
        <w:t>инженерной инфраструктуры и энергоэффективности</w:t>
      </w:r>
      <w:r w:rsidRPr="00282485">
        <w:rPr>
          <w:sz w:val="24"/>
          <w:szCs w:val="24"/>
        </w:rPr>
        <w:t>»</w:t>
      </w:r>
      <w:r w:rsidR="001110B2">
        <w:rPr>
          <w:sz w:val="24"/>
          <w:szCs w:val="24"/>
        </w:rPr>
        <w:t xml:space="preserve"> на 2018-2022 годы</w:t>
      </w:r>
      <w:r w:rsidRPr="00282485">
        <w:rPr>
          <w:sz w:val="24"/>
          <w:szCs w:val="24"/>
        </w:rPr>
        <w:t xml:space="preserve">, утвержденной постановлением Правительства Московской области от </w:t>
      </w:r>
      <w:r w:rsidR="00E4353A" w:rsidRPr="00282485">
        <w:rPr>
          <w:sz w:val="24"/>
          <w:szCs w:val="24"/>
        </w:rPr>
        <w:t>17.10.2017</w:t>
      </w:r>
      <w:r w:rsidRPr="00282485">
        <w:rPr>
          <w:sz w:val="24"/>
          <w:szCs w:val="24"/>
        </w:rPr>
        <w:t xml:space="preserve"> №</w:t>
      </w:r>
      <w:r w:rsidR="00E4353A" w:rsidRPr="00282485">
        <w:rPr>
          <w:sz w:val="24"/>
          <w:szCs w:val="24"/>
        </w:rPr>
        <w:t>863/38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</w:t>
      </w:r>
      <w:r w:rsidRPr="00282485">
        <w:rPr>
          <w:sz w:val="24"/>
          <w:szCs w:val="24"/>
        </w:rPr>
        <w:lastRenderedPageBreak/>
        <w:t xml:space="preserve">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Учитывая, что в настоящее время Сергиево-Посадский муниципальный район 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обеспечение устойчивого функционирования и развития инженерной инфраструктуры, </w:t>
      </w:r>
      <w:r w:rsidRPr="00282485">
        <w:rPr>
          <w:sz w:val="24"/>
          <w:szCs w:val="24"/>
        </w:rPr>
        <w:lastRenderedPageBreak/>
        <w:t>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</w:t>
      </w:r>
      <w:r w:rsidR="00505533" w:rsidRPr="00282485">
        <w:rPr>
          <w:sz w:val="24"/>
          <w:szCs w:val="24"/>
        </w:rPr>
        <w:lastRenderedPageBreak/>
        <w:t>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>инженерной инфраструктуры военных городков в надлежащее состояние, улучшить 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 xml:space="preserve"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</w:t>
      </w:r>
      <w:r w:rsidR="007F32F9" w:rsidRPr="00282485">
        <w:rPr>
          <w:sz w:val="24"/>
          <w:szCs w:val="24"/>
        </w:rPr>
        <w:lastRenderedPageBreak/>
        <w:t>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3 - Повышение энергетической эффективности в бюджетной сфере.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</w:t>
            </w:r>
            <w:r w:rsidRPr="00282485">
              <w:rPr>
                <w:color w:val="000000"/>
                <w:sz w:val="22"/>
                <w:szCs w:val="22"/>
              </w:rPr>
              <w:lastRenderedPageBreak/>
              <w:t xml:space="preserve">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 xml:space="preserve">Отраслевой </w:t>
            </w:r>
            <w:r w:rsidRPr="00282485">
              <w:rPr>
                <w:color w:val="000000"/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DA719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</w:t>
            </w:r>
            <w:r w:rsidR="00DA719B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куб.км/год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CF4BE6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61AD2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</w:t>
            </w:r>
            <w:r w:rsidR="00C80AB6">
              <w:rPr>
                <w:sz w:val="22"/>
                <w:szCs w:val="22"/>
              </w:rPr>
              <w:t>оснащенность</w:t>
            </w:r>
            <w:r>
              <w:rPr>
                <w:sz w:val="22"/>
                <w:szCs w:val="22"/>
              </w:rPr>
              <w:t xml:space="preserve"> </w:t>
            </w:r>
            <w:r w:rsidR="000806A8" w:rsidRPr="00282485">
              <w:rPr>
                <w:sz w:val="22"/>
                <w:szCs w:val="22"/>
              </w:rPr>
              <w:t>многоквартирных домов приборам</w:t>
            </w:r>
            <w:r>
              <w:rPr>
                <w:sz w:val="22"/>
                <w:szCs w:val="22"/>
              </w:rPr>
              <w:t>и</w:t>
            </w:r>
            <w:r w:rsidR="000806A8" w:rsidRPr="00282485">
              <w:rPr>
                <w:sz w:val="22"/>
                <w:szCs w:val="22"/>
              </w:rPr>
              <w:t xml:space="preserve"> учета ресурсов</w:t>
            </w:r>
            <w:r w:rsidR="000806A8"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EB574B" w:rsidP="00DF1917">
            <w:pPr>
              <w:jc w:val="center"/>
              <w:rPr>
                <w:sz w:val="22"/>
                <w:szCs w:val="22"/>
              </w:rPr>
            </w:pPr>
            <w:r w:rsidRPr="00EB574B"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с.п. Шеметовское</w:t>
      </w:r>
      <w:r w:rsidRPr="00282485">
        <w:rPr>
          <w:color w:val="000000"/>
        </w:rPr>
        <w:t xml:space="preserve"> Сергиево-Посадского района</w:t>
      </w:r>
    </w:p>
    <w:p w:rsidR="008A3540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="00A24115" w:rsidRPr="00282485">
        <w:t>Строительство газов</w:t>
      </w:r>
      <w:r w:rsidR="000766C8">
        <w:t>ых</w:t>
      </w:r>
      <w:r w:rsidR="00A24115" w:rsidRPr="00282485">
        <w:t xml:space="preserve"> блочно-модульн</w:t>
      </w:r>
      <w:r w:rsidR="000766C8">
        <w:t>ых</w:t>
      </w:r>
      <w:r w:rsidR="00A24115" w:rsidRPr="00282485">
        <w:t xml:space="preserve"> котельн</w:t>
      </w:r>
      <w:r w:rsidR="000766C8">
        <w:t>ых</w:t>
      </w:r>
      <w:r w:rsidR="00A24115"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(с.п.</w:t>
      </w:r>
      <w:r w:rsidR="006D0FF4">
        <w:t xml:space="preserve"> </w:t>
      </w:r>
      <w:r w:rsidR="008A3540">
        <w:t>Шеметовское)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</w:t>
      </w:r>
      <w:r w:rsidR="002E6BDE" w:rsidRPr="00282485">
        <w:rPr>
          <w:rFonts w:eastAsia="Calibri"/>
          <w:b/>
          <w:sz w:val="24"/>
          <w:szCs w:val="24"/>
        </w:rPr>
        <w:lastRenderedPageBreak/>
        <w:t xml:space="preserve">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куб.км/год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 = Vобщ - Vос,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Vос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B4256">
        <w:rPr>
          <w:color w:val="000000"/>
          <w:sz w:val="24"/>
          <w:szCs w:val="22"/>
        </w:rPr>
        <w:t xml:space="preserve">Vобщ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канализации."</w:t>
      </w:r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</w:t>
      </w:r>
      <w:r w:rsidR="008927FE" w:rsidRPr="00282485">
        <w:rPr>
          <w:rFonts w:eastAsia="Calibri"/>
          <w:b/>
          <w:sz w:val="24"/>
          <w:szCs w:val="24"/>
        </w:rPr>
        <w:lastRenderedPageBreak/>
        <w:t>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</w:r>
      <w:r w:rsidR="00081B63">
        <w:rPr>
          <w:b/>
          <w:sz w:val="22"/>
          <w:szCs w:val="22"/>
        </w:rPr>
        <w:t>: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Бережливый учет – оснащенность многоквартирных домов приборами учета ресурсов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E247C5" w:rsidRPr="00282485" w:rsidRDefault="000F0B67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</w:t>
      </w:r>
      <w:r w:rsidR="00F3022B" w:rsidRPr="00282485">
        <w:rPr>
          <w:rFonts w:ascii="Times New Roman" w:hAnsi="Times New Roman" w:cs="Times New Roman"/>
          <w:sz w:val="24"/>
          <w:szCs w:val="24"/>
        </w:rPr>
        <w:lastRenderedPageBreak/>
        <w:t>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731713" w:rsidRPr="00282485" w:rsidTr="00731713">
        <w:trPr>
          <w:trHeight w:val="399"/>
        </w:trPr>
        <w:tc>
          <w:tcPr>
            <w:tcW w:w="2376" w:type="dxa"/>
            <w:vMerge/>
          </w:tcPr>
          <w:p w:rsidR="00731713" w:rsidRPr="00282485" w:rsidRDefault="0073171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282485" w:rsidRDefault="00731713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58 826,60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49 999,60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6 165,00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31713" w:rsidRPr="00282485" w:rsidTr="00731713">
        <w:trPr>
          <w:trHeight w:val="225"/>
        </w:trPr>
        <w:tc>
          <w:tcPr>
            <w:tcW w:w="2376" w:type="dxa"/>
            <w:vMerge/>
          </w:tcPr>
          <w:p w:rsidR="00731713" w:rsidRPr="00282485" w:rsidRDefault="0073171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47 877,90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4 534,00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31713" w:rsidRPr="00282485" w:rsidTr="00731713">
        <w:trPr>
          <w:trHeight w:val="225"/>
        </w:trPr>
        <w:tc>
          <w:tcPr>
            <w:tcW w:w="2376" w:type="dxa"/>
            <w:vMerge/>
          </w:tcPr>
          <w:p w:rsidR="00731713" w:rsidRPr="00282485" w:rsidRDefault="0073171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10 948,70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D54F22" w:rsidRPr="00282485" w:rsidTr="00D54F22">
        <w:trPr>
          <w:trHeight w:val="225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22"/>
              </w:rPr>
            </w:pPr>
            <w:r w:rsidRPr="00D54F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731713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13" w:rsidRPr="00282485" w:rsidRDefault="0073171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Pr="00282485" w:rsidRDefault="00731713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58 826,60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 w:rsidP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49 999,60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6 165,00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731713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3" w:rsidRPr="00282485" w:rsidRDefault="00731713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Pr="00282485" w:rsidRDefault="00731713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47 877,90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4 534,00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31713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3" w:rsidRPr="00282485" w:rsidRDefault="00731713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Pr="00282485" w:rsidRDefault="00731713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10 948,70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D54F22">
              <w:rPr>
                <w:color w:val="000000"/>
                <w:sz w:val="16"/>
                <w:szCs w:val="16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="00D54F2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D54F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31 880,40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5 865,00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21 231,70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4 534,00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EC19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Направление инвестирования,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Годы строительс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Мощность/прирост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Предельная стоимость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 xml:space="preserve">сировано на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Остаток сметной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Наименование главного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1F47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3229,42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DA719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Приобретение, монтаж и ввод в эксплуатацию станции водоочистки Сергиево-Посадского</w:t>
            </w:r>
            <w:r w:rsidR="00DA719B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 xml:space="preserve">м.р., с.п.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A719B">
              <w:rPr>
                <w:color w:val="000000"/>
                <w:sz w:val="18"/>
                <w:szCs w:val="18"/>
              </w:rPr>
              <w:t>Шеметовское</w:t>
            </w:r>
            <w:r w:rsidRPr="0084779F">
              <w:rPr>
                <w:color w:val="000000"/>
                <w:sz w:val="18"/>
                <w:szCs w:val="18"/>
              </w:rPr>
              <w:t>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sz w:val="18"/>
                <w:szCs w:val="18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AE6BF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  <w:r w:rsidR="00AE6BFA">
              <w:rPr>
                <w:color w:val="000000"/>
                <w:sz w:val="18"/>
                <w:szCs w:val="18"/>
              </w:rPr>
              <w:t>9</w:t>
            </w:r>
            <w:r w:rsidR="00763FCE">
              <w:rPr>
                <w:color w:val="000000"/>
                <w:sz w:val="18"/>
                <w:szCs w:val="18"/>
              </w:rPr>
              <w:t xml:space="preserve"> </w:t>
            </w:r>
            <w:r w:rsidR="00AE6BFA">
              <w:rPr>
                <w:color w:val="000000"/>
                <w:sz w:val="18"/>
                <w:szCs w:val="18"/>
              </w:rPr>
              <w:t>218</w:t>
            </w:r>
            <w:r w:rsidRPr="00282485">
              <w:rPr>
                <w:color w:val="000000"/>
                <w:sz w:val="18"/>
                <w:szCs w:val="18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5 865</w:t>
            </w:r>
            <w:r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21 231,65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>534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</w:t>
            </w:r>
            <w:r w:rsidRPr="00282485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15350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</w:t>
            </w:r>
            <w:r w:rsidRPr="0084779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Средства бюджета </w:t>
            </w:r>
            <w:r w:rsidRPr="00282485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</w:t>
            </w:r>
            <w:r w:rsidRPr="00282485">
              <w:rPr>
                <w:b/>
                <w:color w:val="000000"/>
                <w:sz w:val="18"/>
                <w:szCs w:val="18"/>
              </w:rPr>
              <w:lastRenderedPageBreak/>
              <w:t>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>Строительство, 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муниципального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</w:t>
            </w:r>
            <w:r w:rsidR="00DA719B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тки сточных </w:t>
            </w:r>
            <w:r w:rsidR="00DA719B">
              <w:rPr>
                <w:bCs/>
                <w:color w:val="000000"/>
                <w:sz w:val="18"/>
                <w:szCs w:val="18"/>
              </w:rPr>
              <w:t xml:space="preserve">вод </w:t>
            </w:r>
            <w:r>
              <w:rPr>
                <w:bCs/>
                <w:color w:val="000000"/>
                <w:sz w:val="18"/>
                <w:szCs w:val="18"/>
              </w:rPr>
              <w:t>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A719B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="00DA719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368A5" w:rsidRPr="00282485" w:rsidTr="00C368A5">
        <w:trPr>
          <w:trHeight w:val="213"/>
        </w:trPr>
        <w:tc>
          <w:tcPr>
            <w:tcW w:w="2093" w:type="dxa"/>
            <w:vMerge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368A5" w:rsidRPr="00282485" w:rsidRDefault="00C36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A5" w:rsidRPr="00282485" w:rsidRDefault="00C36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837 358,10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310 206,20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242 865,70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149 929,20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0,00</w:t>
            </w:r>
          </w:p>
        </w:tc>
      </w:tr>
      <w:tr w:rsidR="00C368A5" w:rsidRPr="00282485" w:rsidTr="00C368A5">
        <w:trPr>
          <w:trHeight w:val="225"/>
        </w:trPr>
        <w:tc>
          <w:tcPr>
            <w:tcW w:w="2093" w:type="dxa"/>
            <w:vMerge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368A5" w:rsidRPr="00282485" w:rsidRDefault="00C36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282485" w:rsidRDefault="00C368A5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536 248,00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158 483,90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138 651,00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0,00</w:t>
            </w:r>
          </w:p>
        </w:tc>
      </w:tr>
      <w:tr w:rsidR="00C368A5" w:rsidRPr="00282485" w:rsidTr="00C368A5">
        <w:trPr>
          <w:trHeight w:val="225"/>
        </w:trPr>
        <w:tc>
          <w:tcPr>
            <w:tcW w:w="2093" w:type="dxa"/>
            <w:vMerge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368A5" w:rsidRPr="00282485" w:rsidRDefault="00C36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282485" w:rsidRDefault="00C368A5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300 305,90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83 577,60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11 278,20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0,00</w:t>
            </w:r>
          </w:p>
        </w:tc>
      </w:tr>
      <w:tr w:rsidR="00C368A5" w:rsidRPr="00282485" w:rsidTr="00C368A5">
        <w:trPr>
          <w:trHeight w:val="225"/>
        </w:trPr>
        <w:tc>
          <w:tcPr>
            <w:tcW w:w="2093" w:type="dxa"/>
            <w:vMerge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368A5" w:rsidRPr="00282485" w:rsidRDefault="00C36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282485" w:rsidRDefault="00C368A5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804,2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0,00</w:t>
            </w:r>
          </w:p>
        </w:tc>
      </w:tr>
      <w:tr w:rsidR="00A46D5B" w:rsidRPr="00282485" w:rsidTr="00A46D5B">
        <w:trPr>
          <w:trHeight w:val="225"/>
        </w:trPr>
        <w:tc>
          <w:tcPr>
            <w:tcW w:w="2093" w:type="dxa"/>
            <w:vMerge/>
          </w:tcPr>
          <w:p w:rsidR="00A46D5B" w:rsidRPr="00282485" w:rsidRDefault="00A46D5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46D5B" w:rsidRPr="00282485" w:rsidRDefault="00A46D5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D5B" w:rsidRPr="00282485" w:rsidRDefault="00A46D5B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сельских </w:t>
            </w:r>
            <w:r w:rsidRPr="00282485">
              <w:rPr>
                <w:sz w:val="18"/>
                <w:szCs w:val="18"/>
              </w:rPr>
              <w:lastRenderedPageBreak/>
              <w:t>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D5B" w:rsidRPr="00A46D5B" w:rsidRDefault="00A46D5B" w:rsidP="00A46D5B">
            <w:pPr>
              <w:jc w:val="center"/>
              <w:rPr>
                <w:color w:val="000000"/>
                <w:szCs w:val="22"/>
              </w:rPr>
            </w:pPr>
            <w:r w:rsidRPr="00A46D5B">
              <w:rPr>
                <w:color w:val="000000"/>
                <w:szCs w:val="22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D5B" w:rsidRPr="00A46D5B" w:rsidRDefault="00A46D5B" w:rsidP="00A46D5B">
            <w:pPr>
              <w:jc w:val="center"/>
              <w:rPr>
                <w:color w:val="000000"/>
                <w:szCs w:val="22"/>
              </w:rPr>
            </w:pPr>
            <w:r w:rsidRPr="00A46D5B">
              <w:rPr>
                <w:color w:val="000000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D5B" w:rsidRPr="00A46D5B" w:rsidRDefault="00A46D5B" w:rsidP="00A46D5B">
            <w:pPr>
              <w:jc w:val="center"/>
              <w:rPr>
                <w:color w:val="000000"/>
                <w:szCs w:val="22"/>
              </w:rPr>
            </w:pPr>
            <w:r w:rsidRPr="00A46D5B">
              <w:rPr>
                <w:color w:val="000000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D5B" w:rsidRPr="00A46D5B" w:rsidRDefault="00A46D5B" w:rsidP="00A46D5B">
            <w:pPr>
              <w:jc w:val="center"/>
              <w:rPr>
                <w:color w:val="000000"/>
                <w:szCs w:val="22"/>
              </w:rPr>
            </w:pPr>
            <w:r w:rsidRPr="00A46D5B">
              <w:rPr>
                <w:color w:val="000000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D5B" w:rsidRPr="00A46D5B" w:rsidRDefault="00A46D5B" w:rsidP="00A46D5B">
            <w:pPr>
              <w:jc w:val="center"/>
              <w:rPr>
                <w:color w:val="000000"/>
                <w:szCs w:val="22"/>
              </w:rPr>
            </w:pPr>
            <w:r w:rsidRPr="00A46D5B">
              <w:rPr>
                <w:color w:val="000000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6D5B" w:rsidRPr="00A46D5B" w:rsidRDefault="00A46D5B" w:rsidP="00A46D5B">
            <w:pPr>
              <w:jc w:val="center"/>
              <w:rPr>
                <w:color w:val="000000"/>
                <w:szCs w:val="22"/>
              </w:rPr>
            </w:pPr>
            <w:r w:rsidRPr="00A46D5B">
              <w:rPr>
                <w:color w:val="000000"/>
                <w:szCs w:val="22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052"/>
        <w:gridCol w:w="300"/>
        <w:gridCol w:w="1069"/>
        <w:gridCol w:w="298"/>
      </w:tblGrid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60 663,55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12 240,25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15 945,65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60 663,55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12 240,25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15 945,65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0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7377E8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 w:rsidRPr="007377E8">
              <w:rPr>
                <w:color w:val="000000"/>
                <w:sz w:val="16"/>
                <w:szCs w:val="16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7377E8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7377E8"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 xml:space="preserve">Проведение первоочередных мероприятий по восстановлению объектов социальной и инженерной инфраструктуры военных </w:t>
            </w:r>
            <w:r w:rsidRPr="00A80115">
              <w:rPr>
                <w:color w:val="000000"/>
                <w:sz w:val="18"/>
                <w:szCs w:val="18"/>
              </w:rPr>
              <w:lastRenderedPageBreak/>
              <w:t>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C368A5" w:rsidRPr="00282485" w:rsidRDefault="00C368A5" w:rsidP="00B12349">
            <w:pPr>
              <w:jc w:val="center"/>
              <w:rPr>
                <w:sz w:val="18"/>
                <w:szCs w:val="18"/>
              </w:rPr>
            </w:pPr>
          </w:p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772 715,40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194 442,40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137 689,00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A5" w:rsidRPr="00282485" w:rsidRDefault="00C368A5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A5" w:rsidRPr="00282485" w:rsidRDefault="00C368A5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284 137,20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8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2" w:rsidRPr="00282485" w:rsidRDefault="00FA098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982" w:rsidRPr="00282485" w:rsidRDefault="00FA098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982" w:rsidRPr="00282485" w:rsidRDefault="00FA098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2" w:rsidRPr="00282485" w:rsidRDefault="00FA0982" w:rsidP="00A46D5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2" w:rsidRPr="00282485" w:rsidRDefault="00FA098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804,2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804,2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0982" w:rsidRPr="00C71D8E" w:rsidRDefault="00FA098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0982" w:rsidRPr="00C71D8E" w:rsidRDefault="00FA098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8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2" w:rsidRPr="00282485" w:rsidRDefault="00FA098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82" w:rsidRPr="00282485" w:rsidRDefault="00FA098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82" w:rsidRPr="00282485" w:rsidRDefault="00FA098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2" w:rsidRPr="00282485" w:rsidRDefault="00FA098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2" w:rsidRPr="00282485" w:rsidRDefault="00FA098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82" w:rsidRPr="00C71D8E" w:rsidRDefault="00FA098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82" w:rsidRPr="00C71D8E" w:rsidRDefault="00FA098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lastRenderedPageBreak/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Организация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обеспечения надежного теплоснабжения потребителей </w:t>
            </w: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AF05B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C368A5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82" w:rsidRPr="00C71D8E" w:rsidTr="0063194A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. </w:t>
            </w: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>. Актуализация схем теплоснабжения, водоснабжения и водоотведения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FA0982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82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82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F801B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8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Иные межбюджетные трансферты Сергиево-Посадского муниципальному району на исполнение преданных полномочий по организации в </w:t>
            </w:r>
            <w:r>
              <w:rPr>
                <w:color w:val="000000"/>
                <w:sz w:val="18"/>
                <w:szCs w:val="18"/>
              </w:rPr>
              <w:lastRenderedPageBreak/>
              <w:t>границах поселения тепло-водоснабжения, водоотведения из бюджета городского поселения Хотьково.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Pr="000613CA" w:rsidRDefault="00C368A5">
            <w:pPr>
              <w:jc w:val="center"/>
              <w:rPr>
                <w:color w:val="000000"/>
                <w:sz w:val="18"/>
                <w:szCs w:val="16"/>
              </w:rPr>
            </w:pPr>
            <w:r w:rsidRPr="000613CA">
              <w:rPr>
                <w:color w:val="000000"/>
                <w:sz w:val="18"/>
                <w:szCs w:val="16"/>
              </w:rPr>
              <w:t xml:space="preserve">804,20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Pr="000613CA" w:rsidRDefault="00C368A5">
            <w:pPr>
              <w:jc w:val="center"/>
              <w:rPr>
                <w:color w:val="000000"/>
                <w:sz w:val="18"/>
                <w:szCs w:val="16"/>
              </w:rPr>
            </w:pPr>
            <w:r w:rsidRPr="000613CA">
              <w:rPr>
                <w:color w:val="000000"/>
                <w:sz w:val="18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Pr="000613CA" w:rsidRDefault="00C368A5">
            <w:pPr>
              <w:jc w:val="center"/>
              <w:rPr>
                <w:color w:val="000000"/>
                <w:sz w:val="18"/>
                <w:szCs w:val="16"/>
              </w:rPr>
            </w:pPr>
            <w:r w:rsidRPr="000613CA">
              <w:rPr>
                <w:color w:val="000000"/>
                <w:sz w:val="18"/>
                <w:szCs w:val="16"/>
              </w:rPr>
              <w:t xml:space="preserve">804,20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Pr="000613CA" w:rsidRDefault="00C368A5">
            <w:pPr>
              <w:jc w:val="center"/>
              <w:rPr>
                <w:color w:val="000000"/>
                <w:sz w:val="18"/>
                <w:szCs w:val="16"/>
              </w:rPr>
            </w:pPr>
            <w:r w:rsidRPr="000613CA">
              <w:rPr>
                <w:color w:val="000000"/>
                <w:sz w:val="18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Pr="000613CA" w:rsidRDefault="00C368A5">
            <w:pPr>
              <w:jc w:val="center"/>
              <w:rPr>
                <w:color w:val="000000"/>
                <w:sz w:val="18"/>
                <w:szCs w:val="16"/>
              </w:rPr>
            </w:pPr>
            <w:r w:rsidRPr="000613CA">
              <w:rPr>
                <w:color w:val="000000"/>
                <w:sz w:val="18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Pr="000613CA" w:rsidRDefault="00C368A5">
            <w:pPr>
              <w:jc w:val="center"/>
              <w:rPr>
                <w:color w:val="000000"/>
                <w:sz w:val="18"/>
                <w:szCs w:val="16"/>
              </w:rPr>
            </w:pPr>
            <w:r w:rsidRPr="000613CA">
              <w:rPr>
                <w:color w:val="000000"/>
                <w:sz w:val="18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46D5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46D5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FA098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46D5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804,20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A67DE" w:rsidRPr="00282485" w:rsidRDefault="003A67DE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2018"/>
        <w:gridCol w:w="851"/>
        <w:gridCol w:w="1275"/>
        <w:gridCol w:w="993"/>
        <w:gridCol w:w="1134"/>
        <w:gridCol w:w="1843"/>
        <w:gridCol w:w="992"/>
        <w:gridCol w:w="708"/>
        <w:gridCol w:w="1113"/>
        <w:gridCol w:w="1155"/>
        <w:gridCol w:w="851"/>
        <w:gridCol w:w="1273"/>
      </w:tblGrid>
      <w:tr w:rsidR="00953220" w:rsidRPr="008E6097" w:rsidTr="00AF05B2">
        <w:trPr>
          <w:trHeight w:val="7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53220" w:rsidRPr="008E6097" w:rsidTr="00AF05B2">
        <w:trPr>
          <w:trHeight w:val="13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953220" w:rsidRPr="008E6097" w:rsidTr="00AF05B2">
        <w:trPr>
          <w:trHeight w:val="3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мощностью 4,6 МВт по адресу</w:t>
            </w:r>
            <w:r w:rsidR="0084779F">
              <w:rPr>
                <w:sz w:val="18"/>
                <w:szCs w:val="18"/>
              </w:rPr>
              <w:t>:</w:t>
            </w:r>
            <w:r w:rsidRPr="008E6097">
              <w:rPr>
                <w:sz w:val="18"/>
                <w:szCs w:val="18"/>
              </w:rPr>
              <w:t>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499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62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89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953220" w:rsidRPr="00D42489" w:rsidRDefault="00D42489" w:rsidP="00D42489">
            <w:r>
              <w:t>2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 xml:space="preserve">Строительство газовой блочно-модульной </w:t>
            </w:r>
            <w:r w:rsidRPr="0073188A">
              <w:rPr>
                <w:color w:val="000000"/>
                <w:sz w:val="18"/>
                <w:szCs w:val="18"/>
              </w:rPr>
              <w:lastRenderedPageBreak/>
              <w:t>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84779F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2019-2020г.г.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C607B" w:rsidP="009C607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B557BA" w:rsidRDefault="00953220" w:rsidP="00B557BA">
            <w:pPr>
              <w:pStyle w:val="ConsPlusCell"/>
            </w:pPr>
            <w:r w:rsidRPr="00B557BA">
              <w:t>24 480,50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48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91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5 556,50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82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60 663,55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48 423,30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12 240,25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44 717,90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15 945,65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артезианской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скважины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 w:rsidR="00535C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</w:t>
            </w:r>
            <w:r>
              <w:rPr>
                <w:sz w:val="18"/>
                <w:szCs w:val="18"/>
              </w:rPr>
              <w:lastRenderedPageBreak/>
              <w:t xml:space="preserve">тепловых сетей вс.п.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r w:rsidRPr="00282485"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Направление </w:t>
            </w:r>
            <w:r w:rsidRPr="00282485">
              <w:rPr>
                <w:sz w:val="18"/>
                <w:szCs w:val="18"/>
              </w:rPr>
              <w:lastRenderedPageBreak/>
              <w:t xml:space="preserve">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Годы </w:t>
            </w:r>
            <w:r w:rsidRPr="00282485">
              <w:rPr>
                <w:sz w:val="18"/>
                <w:szCs w:val="18"/>
              </w:rPr>
              <w:lastRenderedPageBreak/>
              <w:t>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Предельная </w:t>
            </w:r>
            <w:r w:rsidRPr="00282485">
              <w:rPr>
                <w:sz w:val="18"/>
                <w:szCs w:val="18"/>
              </w:rPr>
              <w:lastRenderedPageBreak/>
              <w:t>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Профинанси</w:t>
            </w:r>
            <w:r w:rsidRPr="00282485">
              <w:rPr>
                <w:sz w:val="18"/>
                <w:szCs w:val="18"/>
              </w:rPr>
              <w:lastRenderedPageBreak/>
              <w:t>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Источники </w:t>
            </w:r>
            <w:r w:rsidRPr="00282485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Остаток </w:t>
            </w:r>
            <w:r w:rsidRPr="00282485">
              <w:rPr>
                <w:sz w:val="18"/>
                <w:szCs w:val="18"/>
              </w:rPr>
              <w:lastRenderedPageBreak/>
              <w:t>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Наименование </w:t>
            </w:r>
            <w:r w:rsidRPr="00282485">
              <w:rPr>
                <w:sz w:val="18"/>
                <w:szCs w:val="18"/>
              </w:rPr>
              <w:lastRenderedPageBreak/>
              <w:t>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 теплотрассы от ж.д. №30 до СДК 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lastRenderedPageBreak/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 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ремонту сетей  холодного </w:t>
            </w:r>
            <w:r>
              <w:rPr>
                <w:sz w:val="18"/>
                <w:szCs w:val="18"/>
              </w:rPr>
              <w:lastRenderedPageBreak/>
              <w:t>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с. Васильевское 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водоснабжения.д. Каменки, с.п.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аварийно-восстановительных работ сетей наружного канализации в д. Лазарево</w:t>
            </w:r>
            <w:r w:rsidR="008B7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«Энергосбережениеиповышениеэнергетическойэффективности»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A15D98" w:rsidP="00CD1DDB">
            <w:pPr>
              <w:jc w:val="center"/>
              <w:rPr>
                <w:color w:val="000000"/>
                <w:sz w:val="22"/>
                <w:szCs w:val="22"/>
              </w:rPr>
            </w:pPr>
            <w:r w:rsidRPr="00A15D98">
              <w:rPr>
                <w:color w:val="000000"/>
                <w:sz w:val="22"/>
                <w:szCs w:val="22"/>
              </w:rPr>
              <w:t>70 760,13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1DDB" w:rsidRPr="00282485" w:rsidTr="00CD1DDB">
        <w:trPr>
          <w:trHeight w:val="426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11 110,13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Обеспечение учета  и контроля  объемов потребления энергетических ресурсов и воды  по  </w:t>
            </w:r>
            <w:r w:rsidRPr="007D2355">
              <w:rPr>
                <w:bCs/>
              </w:rPr>
              <w:lastRenderedPageBreak/>
              <w:t>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A15D98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15350D" w:rsidRPr="007D2355">
              <w:rPr>
                <w:bCs/>
              </w:rPr>
              <w:t xml:space="preserve"> </w:t>
            </w:r>
            <w:r>
              <w:rPr>
                <w:bCs/>
              </w:rPr>
              <w:t>760</w:t>
            </w:r>
            <w:r w:rsidR="0015350D" w:rsidRPr="007D2355">
              <w:rPr>
                <w:bCs/>
              </w:rPr>
              <w:t>,</w:t>
            </w:r>
            <w:r>
              <w:rPr>
                <w:bCs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A15D98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 w:rsidR="00A15D98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6C3E25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Выполнение мероприятий по ремонту линии электроснабжения п. Березняки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 xml:space="preserve">Выполнение </w:t>
            </w:r>
            <w:r w:rsidRPr="005F5376">
              <w:rPr>
                <w:bCs/>
              </w:rPr>
              <w:lastRenderedPageBreak/>
              <w:t>мероприятий по ремонту сетей уличного освещения п. Новый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lastRenderedPageBreak/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</w:t>
            </w:r>
            <w:r w:rsidRPr="007D2355">
              <w:rPr>
                <w:bCs/>
              </w:rPr>
              <w:lastRenderedPageBreak/>
              <w:t>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</w:t>
            </w:r>
            <w:r w:rsidRPr="007D2355">
              <w:rPr>
                <w:bCs/>
              </w:rPr>
              <w:lastRenderedPageBreak/>
              <w:t>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экономия тепловой </w:t>
            </w:r>
            <w:r w:rsidRPr="007D2355">
              <w:rPr>
                <w:bCs/>
              </w:rPr>
              <w:lastRenderedPageBreak/>
              <w:t>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</w:t>
            </w:r>
            <w:r w:rsidRPr="007D2355">
              <w:rPr>
                <w:bCs/>
              </w:rPr>
              <w:lastRenderedPageBreak/>
              <w:t>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</w:t>
            </w:r>
            <w:r w:rsidRPr="007D2355">
              <w:rPr>
                <w:bCs/>
              </w:rPr>
              <w:lastRenderedPageBreak/>
              <w:t>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</w:t>
            </w:r>
            <w:r w:rsidRPr="007D2355">
              <w:rPr>
                <w:bCs/>
              </w:rPr>
              <w:lastRenderedPageBreak/>
              <w:t xml:space="preserve">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</w:t>
            </w:r>
            <w:r w:rsidRPr="007D2355">
              <w:rPr>
                <w:bCs/>
              </w:rPr>
              <w:lastRenderedPageBreak/>
              <w:t>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экономия тепловой энергии и  </w:t>
            </w:r>
            <w:r w:rsidRPr="007D2355">
              <w:rPr>
                <w:bCs/>
              </w:rPr>
              <w:lastRenderedPageBreak/>
              <w:t>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>Предупреждение аварийных ситуаций -ремонт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  <w:r w:rsidR="00CD387B" w:rsidRPr="00CD387B">
              <w:rPr>
                <w:b/>
                <w:bCs/>
              </w:rPr>
              <w:t xml:space="preserve">Итого по </w:t>
            </w:r>
            <w:r w:rsidR="00CD387B">
              <w:rPr>
                <w:b/>
                <w:bCs/>
              </w:rPr>
              <w:t>Подп</w:t>
            </w:r>
            <w:r w:rsidR="00CD387B"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3612BA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15350D" w:rsidRPr="00CD387B">
              <w:rPr>
                <w:b/>
                <w:bCs/>
              </w:rPr>
              <w:t xml:space="preserve"> 934,60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D27A29" w:rsidRPr="005F5376">
              <w:rPr>
                <w:b/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31</w:t>
            </w:r>
            <w:r w:rsidR="00D27A29" w:rsidRPr="005F5376">
              <w:rPr>
                <w:b/>
                <w:bCs/>
              </w:rPr>
              <w:t> 460,13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15 150,00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5F5376">
              <w:rPr>
                <w:b/>
                <w:bCs/>
              </w:rPr>
              <w:t xml:space="preserve">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lastRenderedPageBreak/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CD387B">
              <w:rPr>
                <w:b/>
                <w:bCs/>
              </w:rPr>
              <w:t xml:space="preserve">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2</w:t>
            </w:r>
            <w:r w:rsidR="00D27A29" w:rsidRPr="005F5376">
              <w:rPr>
                <w:b/>
                <w:bCs/>
              </w:rPr>
              <w:t> 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15350D" w:rsidRPr="005F5376">
              <w:rPr>
                <w:b/>
                <w:bCs/>
              </w:rPr>
              <w:t>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CC" w:rsidRDefault="00AF48CC" w:rsidP="004A325B">
      <w:r>
        <w:separator/>
      </w:r>
    </w:p>
  </w:endnote>
  <w:endnote w:type="continuationSeparator" w:id="0">
    <w:p w:rsidR="00AF48CC" w:rsidRDefault="00AF48CC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CC" w:rsidRDefault="00AF48CC" w:rsidP="004A325B">
      <w:r>
        <w:separator/>
      </w:r>
    </w:p>
  </w:footnote>
  <w:footnote w:type="continuationSeparator" w:id="0">
    <w:p w:rsidR="00AF48CC" w:rsidRDefault="00AF48CC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9B" w:rsidRDefault="001F2B60">
    <w:pPr>
      <w:pStyle w:val="ac"/>
      <w:jc w:val="center"/>
    </w:pPr>
    <w:r>
      <w:rPr>
        <w:noProof/>
      </w:rPr>
      <w:fldChar w:fldCharType="begin"/>
    </w:r>
    <w:r w:rsidR="00DA719B">
      <w:rPr>
        <w:noProof/>
      </w:rPr>
      <w:instrText>PAGE   \* MERGEFORMAT</w:instrText>
    </w:r>
    <w:r>
      <w:rPr>
        <w:noProof/>
      </w:rPr>
      <w:fldChar w:fldCharType="separate"/>
    </w:r>
    <w:r w:rsidR="00835F8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4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8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3"/>
  </w:num>
  <w:num w:numId="10">
    <w:abstractNumId w:val="16"/>
  </w:num>
  <w:num w:numId="11">
    <w:abstractNumId w:val="12"/>
  </w:num>
  <w:num w:numId="12">
    <w:abstractNumId w:val="1"/>
  </w:num>
  <w:num w:numId="13">
    <w:abstractNumId w:val="11"/>
  </w:num>
  <w:num w:numId="14">
    <w:abstractNumId w:val="9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4063"/>
    <w:rsid w:val="0001659F"/>
    <w:rsid w:val="00017976"/>
    <w:rsid w:val="0002102D"/>
    <w:rsid w:val="00022A01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3CA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1B63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503EB"/>
    <w:rsid w:val="0015350D"/>
    <w:rsid w:val="00156E39"/>
    <w:rsid w:val="0016130E"/>
    <w:rsid w:val="001658D8"/>
    <w:rsid w:val="00165B23"/>
    <w:rsid w:val="0016671C"/>
    <w:rsid w:val="001667CA"/>
    <w:rsid w:val="00167C6B"/>
    <w:rsid w:val="001715B2"/>
    <w:rsid w:val="00171D43"/>
    <w:rsid w:val="001764DC"/>
    <w:rsid w:val="00176B8F"/>
    <w:rsid w:val="00184047"/>
    <w:rsid w:val="00187432"/>
    <w:rsid w:val="0019232E"/>
    <w:rsid w:val="00194678"/>
    <w:rsid w:val="00197675"/>
    <w:rsid w:val="001A0ACB"/>
    <w:rsid w:val="001A3EA8"/>
    <w:rsid w:val="001A5103"/>
    <w:rsid w:val="001A5283"/>
    <w:rsid w:val="001A7C3D"/>
    <w:rsid w:val="001B0DA7"/>
    <w:rsid w:val="001B3800"/>
    <w:rsid w:val="001B3C89"/>
    <w:rsid w:val="001C0991"/>
    <w:rsid w:val="001C12D8"/>
    <w:rsid w:val="001C152F"/>
    <w:rsid w:val="001C1BEB"/>
    <w:rsid w:val="001C207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2B60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49E6"/>
    <w:rsid w:val="002254C6"/>
    <w:rsid w:val="00225E3A"/>
    <w:rsid w:val="002303DD"/>
    <w:rsid w:val="002322FB"/>
    <w:rsid w:val="00232848"/>
    <w:rsid w:val="00234CA6"/>
    <w:rsid w:val="00234DCC"/>
    <w:rsid w:val="00236F59"/>
    <w:rsid w:val="00242C20"/>
    <w:rsid w:val="00242F79"/>
    <w:rsid w:val="00243283"/>
    <w:rsid w:val="002457A5"/>
    <w:rsid w:val="002509D7"/>
    <w:rsid w:val="002511AA"/>
    <w:rsid w:val="00252541"/>
    <w:rsid w:val="002549F0"/>
    <w:rsid w:val="002563AF"/>
    <w:rsid w:val="00260AB5"/>
    <w:rsid w:val="00261AD2"/>
    <w:rsid w:val="002642EC"/>
    <w:rsid w:val="00265015"/>
    <w:rsid w:val="00265E7C"/>
    <w:rsid w:val="00267C63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932A8"/>
    <w:rsid w:val="002A0745"/>
    <w:rsid w:val="002A0A68"/>
    <w:rsid w:val="002A7571"/>
    <w:rsid w:val="002A7C31"/>
    <w:rsid w:val="002B09C3"/>
    <w:rsid w:val="002B1B60"/>
    <w:rsid w:val="002B3C91"/>
    <w:rsid w:val="002B5569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6079"/>
    <w:rsid w:val="00317045"/>
    <w:rsid w:val="00321481"/>
    <w:rsid w:val="00322938"/>
    <w:rsid w:val="00323327"/>
    <w:rsid w:val="0032449F"/>
    <w:rsid w:val="00325CE7"/>
    <w:rsid w:val="00330D85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07C"/>
    <w:rsid w:val="003517C0"/>
    <w:rsid w:val="00351A80"/>
    <w:rsid w:val="00351B53"/>
    <w:rsid w:val="00352AD6"/>
    <w:rsid w:val="003612BA"/>
    <w:rsid w:val="00361D6E"/>
    <w:rsid w:val="00367DE1"/>
    <w:rsid w:val="00370BF8"/>
    <w:rsid w:val="003712FD"/>
    <w:rsid w:val="00374180"/>
    <w:rsid w:val="003749FA"/>
    <w:rsid w:val="003775B2"/>
    <w:rsid w:val="00377B44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22D6"/>
    <w:rsid w:val="003A4E54"/>
    <w:rsid w:val="003A67DE"/>
    <w:rsid w:val="003A7D50"/>
    <w:rsid w:val="003B050B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F32BD"/>
    <w:rsid w:val="003F333E"/>
    <w:rsid w:val="003F3D09"/>
    <w:rsid w:val="003F4985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7664"/>
    <w:rsid w:val="004313B3"/>
    <w:rsid w:val="00435A44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4813"/>
    <w:rsid w:val="00466929"/>
    <w:rsid w:val="004675B4"/>
    <w:rsid w:val="00471C0D"/>
    <w:rsid w:val="004727D0"/>
    <w:rsid w:val="004730EF"/>
    <w:rsid w:val="00474516"/>
    <w:rsid w:val="0047455E"/>
    <w:rsid w:val="00477F4E"/>
    <w:rsid w:val="0048091C"/>
    <w:rsid w:val="00481210"/>
    <w:rsid w:val="00486F0B"/>
    <w:rsid w:val="00487E38"/>
    <w:rsid w:val="00490714"/>
    <w:rsid w:val="00490E59"/>
    <w:rsid w:val="00491999"/>
    <w:rsid w:val="00491E2D"/>
    <w:rsid w:val="004938E0"/>
    <w:rsid w:val="00496DF6"/>
    <w:rsid w:val="0049724A"/>
    <w:rsid w:val="004A0032"/>
    <w:rsid w:val="004A103D"/>
    <w:rsid w:val="004A306D"/>
    <w:rsid w:val="004A308B"/>
    <w:rsid w:val="004A325B"/>
    <w:rsid w:val="004A33D0"/>
    <w:rsid w:val="004A53C7"/>
    <w:rsid w:val="004A7466"/>
    <w:rsid w:val="004B10C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E7C"/>
    <w:rsid w:val="005D5301"/>
    <w:rsid w:val="005E2B7D"/>
    <w:rsid w:val="005E3299"/>
    <w:rsid w:val="005E450B"/>
    <w:rsid w:val="005E7835"/>
    <w:rsid w:val="005F042B"/>
    <w:rsid w:val="005F0919"/>
    <w:rsid w:val="005F0E86"/>
    <w:rsid w:val="005F4537"/>
    <w:rsid w:val="005F4BCA"/>
    <w:rsid w:val="005F5376"/>
    <w:rsid w:val="005F5D00"/>
    <w:rsid w:val="005F5E68"/>
    <w:rsid w:val="00603277"/>
    <w:rsid w:val="006033AB"/>
    <w:rsid w:val="00603EBA"/>
    <w:rsid w:val="006040B8"/>
    <w:rsid w:val="00605668"/>
    <w:rsid w:val="0060681F"/>
    <w:rsid w:val="0061013E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34B4"/>
    <w:rsid w:val="00684C38"/>
    <w:rsid w:val="00686856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6468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42B"/>
    <w:rsid w:val="00716C0E"/>
    <w:rsid w:val="00720250"/>
    <w:rsid w:val="00721059"/>
    <w:rsid w:val="00721731"/>
    <w:rsid w:val="00721ED0"/>
    <w:rsid w:val="00722A83"/>
    <w:rsid w:val="00722BD7"/>
    <w:rsid w:val="00724599"/>
    <w:rsid w:val="00725A4B"/>
    <w:rsid w:val="00727018"/>
    <w:rsid w:val="0073042B"/>
    <w:rsid w:val="00731713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52C6"/>
    <w:rsid w:val="007568E5"/>
    <w:rsid w:val="00761FC2"/>
    <w:rsid w:val="00763FCE"/>
    <w:rsid w:val="007653B6"/>
    <w:rsid w:val="007662F8"/>
    <w:rsid w:val="007668DC"/>
    <w:rsid w:val="007700F5"/>
    <w:rsid w:val="007735B0"/>
    <w:rsid w:val="00773611"/>
    <w:rsid w:val="00773970"/>
    <w:rsid w:val="0077425A"/>
    <w:rsid w:val="0077507A"/>
    <w:rsid w:val="0077635A"/>
    <w:rsid w:val="0077741C"/>
    <w:rsid w:val="00781384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C0544"/>
    <w:rsid w:val="007C27C6"/>
    <w:rsid w:val="007C2AE4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19FE"/>
    <w:rsid w:val="00803191"/>
    <w:rsid w:val="008048B3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35F8B"/>
    <w:rsid w:val="008416E0"/>
    <w:rsid w:val="00841BE1"/>
    <w:rsid w:val="00846067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3540"/>
    <w:rsid w:val="008A4C63"/>
    <w:rsid w:val="008A55AA"/>
    <w:rsid w:val="008A6BFD"/>
    <w:rsid w:val="008A78D3"/>
    <w:rsid w:val="008A7E26"/>
    <w:rsid w:val="008B2B8A"/>
    <w:rsid w:val="008B3727"/>
    <w:rsid w:val="008B589E"/>
    <w:rsid w:val="008B70EF"/>
    <w:rsid w:val="008C01EE"/>
    <w:rsid w:val="008C1CC9"/>
    <w:rsid w:val="008C437F"/>
    <w:rsid w:val="008C502A"/>
    <w:rsid w:val="008C5D0B"/>
    <w:rsid w:val="008C610B"/>
    <w:rsid w:val="008C6A8B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1659"/>
    <w:rsid w:val="00942091"/>
    <w:rsid w:val="009436CD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85E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545"/>
    <w:rsid w:val="009B0EA9"/>
    <w:rsid w:val="009B1D6F"/>
    <w:rsid w:val="009B608F"/>
    <w:rsid w:val="009C087C"/>
    <w:rsid w:val="009C1D0E"/>
    <w:rsid w:val="009C2A5E"/>
    <w:rsid w:val="009C3A0A"/>
    <w:rsid w:val="009C607B"/>
    <w:rsid w:val="009D2DDE"/>
    <w:rsid w:val="009D2E11"/>
    <w:rsid w:val="009D7390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6D5B"/>
    <w:rsid w:val="00A47999"/>
    <w:rsid w:val="00A47F8F"/>
    <w:rsid w:val="00A512CD"/>
    <w:rsid w:val="00A51ED1"/>
    <w:rsid w:val="00A52EDB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1A95"/>
    <w:rsid w:val="00A91F43"/>
    <w:rsid w:val="00A9646A"/>
    <w:rsid w:val="00A973F4"/>
    <w:rsid w:val="00AA0A7C"/>
    <w:rsid w:val="00AA1D10"/>
    <w:rsid w:val="00AA36D7"/>
    <w:rsid w:val="00AB15D9"/>
    <w:rsid w:val="00AB6093"/>
    <w:rsid w:val="00AB6641"/>
    <w:rsid w:val="00AB6811"/>
    <w:rsid w:val="00AB77C9"/>
    <w:rsid w:val="00AC178F"/>
    <w:rsid w:val="00AC2085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69F"/>
    <w:rsid w:val="00AF4701"/>
    <w:rsid w:val="00AF48CC"/>
    <w:rsid w:val="00AF48D3"/>
    <w:rsid w:val="00AF4A1D"/>
    <w:rsid w:val="00AF59FD"/>
    <w:rsid w:val="00AF65EB"/>
    <w:rsid w:val="00AF72AE"/>
    <w:rsid w:val="00AF78F8"/>
    <w:rsid w:val="00AF7F17"/>
    <w:rsid w:val="00B03CA8"/>
    <w:rsid w:val="00B062D3"/>
    <w:rsid w:val="00B07A9C"/>
    <w:rsid w:val="00B12349"/>
    <w:rsid w:val="00B12943"/>
    <w:rsid w:val="00B12C92"/>
    <w:rsid w:val="00B1616E"/>
    <w:rsid w:val="00B173BE"/>
    <w:rsid w:val="00B21114"/>
    <w:rsid w:val="00B216F7"/>
    <w:rsid w:val="00B224CF"/>
    <w:rsid w:val="00B22A75"/>
    <w:rsid w:val="00B22FE8"/>
    <w:rsid w:val="00B273B7"/>
    <w:rsid w:val="00B313FD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1E73"/>
    <w:rsid w:val="00B52C93"/>
    <w:rsid w:val="00B54EFC"/>
    <w:rsid w:val="00B557BA"/>
    <w:rsid w:val="00B55AE8"/>
    <w:rsid w:val="00B55B72"/>
    <w:rsid w:val="00B60650"/>
    <w:rsid w:val="00B62726"/>
    <w:rsid w:val="00B62AEE"/>
    <w:rsid w:val="00B63F50"/>
    <w:rsid w:val="00B644C0"/>
    <w:rsid w:val="00B66664"/>
    <w:rsid w:val="00B72120"/>
    <w:rsid w:val="00B732B4"/>
    <w:rsid w:val="00B73AC8"/>
    <w:rsid w:val="00B74869"/>
    <w:rsid w:val="00B7521F"/>
    <w:rsid w:val="00B76618"/>
    <w:rsid w:val="00B81870"/>
    <w:rsid w:val="00B8298F"/>
    <w:rsid w:val="00B83D34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E0967"/>
    <w:rsid w:val="00BE1A67"/>
    <w:rsid w:val="00BE2372"/>
    <w:rsid w:val="00BE2D99"/>
    <w:rsid w:val="00BE55C7"/>
    <w:rsid w:val="00BE7081"/>
    <w:rsid w:val="00BF169E"/>
    <w:rsid w:val="00BF1A9F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70629"/>
    <w:rsid w:val="00C71D8E"/>
    <w:rsid w:val="00C72A68"/>
    <w:rsid w:val="00C740AB"/>
    <w:rsid w:val="00C75810"/>
    <w:rsid w:val="00C75F0A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226B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A6F"/>
    <w:rsid w:val="00CC2AC0"/>
    <w:rsid w:val="00CC3EB2"/>
    <w:rsid w:val="00CC5F34"/>
    <w:rsid w:val="00CD1133"/>
    <w:rsid w:val="00CD1DDB"/>
    <w:rsid w:val="00CD387B"/>
    <w:rsid w:val="00CD47AF"/>
    <w:rsid w:val="00CD5985"/>
    <w:rsid w:val="00CD6066"/>
    <w:rsid w:val="00CE056D"/>
    <w:rsid w:val="00CE06D7"/>
    <w:rsid w:val="00CE0F44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2C38"/>
    <w:rsid w:val="00D03BFA"/>
    <w:rsid w:val="00D0591A"/>
    <w:rsid w:val="00D1098B"/>
    <w:rsid w:val="00D15D7F"/>
    <w:rsid w:val="00D164BB"/>
    <w:rsid w:val="00D16C2A"/>
    <w:rsid w:val="00D22175"/>
    <w:rsid w:val="00D22B3D"/>
    <w:rsid w:val="00D23DC2"/>
    <w:rsid w:val="00D27505"/>
    <w:rsid w:val="00D27A29"/>
    <w:rsid w:val="00D31177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C70"/>
    <w:rsid w:val="00D5377B"/>
    <w:rsid w:val="00D5443E"/>
    <w:rsid w:val="00D54F22"/>
    <w:rsid w:val="00D55D4D"/>
    <w:rsid w:val="00D57B06"/>
    <w:rsid w:val="00D57B94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D2C47"/>
    <w:rsid w:val="00DD4691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7CBD"/>
    <w:rsid w:val="00E8076C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54B5"/>
    <w:rsid w:val="00EB574B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6141"/>
    <w:rsid w:val="00ED65E3"/>
    <w:rsid w:val="00EE1E1F"/>
    <w:rsid w:val="00EE5A6D"/>
    <w:rsid w:val="00EE5F3B"/>
    <w:rsid w:val="00EE7CF9"/>
    <w:rsid w:val="00EF0997"/>
    <w:rsid w:val="00EF0B5C"/>
    <w:rsid w:val="00EF2A31"/>
    <w:rsid w:val="00EF35A1"/>
    <w:rsid w:val="00EF4B90"/>
    <w:rsid w:val="00EF6B86"/>
    <w:rsid w:val="00EF77C6"/>
    <w:rsid w:val="00F0357C"/>
    <w:rsid w:val="00F0450F"/>
    <w:rsid w:val="00F058C4"/>
    <w:rsid w:val="00F06216"/>
    <w:rsid w:val="00F12C48"/>
    <w:rsid w:val="00F13991"/>
    <w:rsid w:val="00F13B22"/>
    <w:rsid w:val="00F216EB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53151"/>
    <w:rsid w:val="00F54ACD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7042"/>
    <w:rsid w:val="00F872BB"/>
    <w:rsid w:val="00F872E4"/>
    <w:rsid w:val="00F879D2"/>
    <w:rsid w:val="00F90519"/>
    <w:rsid w:val="00F924B0"/>
    <w:rsid w:val="00F95B4B"/>
    <w:rsid w:val="00FA0982"/>
    <w:rsid w:val="00FA155E"/>
    <w:rsid w:val="00FA3343"/>
    <w:rsid w:val="00FA4DDD"/>
    <w:rsid w:val="00FA5222"/>
    <w:rsid w:val="00FB0525"/>
    <w:rsid w:val="00FB0F10"/>
    <w:rsid w:val="00FB357B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50D7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1221-7252-49CC-89EC-19B44E29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14252</Words>
  <Characters>81238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2019-03-15T07:50:00Z</cp:lastPrinted>
  <dcterms:created xsi:type="dcterms:W3CDTF">2019-04-02T12:19:00Z</dcterms:created>
  <dcterms:modified xsi:type="dcterms:W3CDTF">2019-04-02T12:19:00Z</dcterms:modified>
</cp:coreProperties>
</file>