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147A09" w:rsidRPr="00282485" w:rsidTr="00147A09">
        <w:trPr>
          <w:trHeight w:val="531"/>
        </w:trPr>
        <w:tc>
          <w:tcPr>
            <w:tcW w:w="4928" w:type="dxa"/>
            <w:shd w:val="clear" w:color="auto" w:fill="auto"/>
          </w:tcPr>
          <w:p w:rsidR="00147A09" w:rsidRPr="00282485" w:rsidRDefault="00147A09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1 243 490,53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371 019,20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242 763,80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225 541,60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147A09" w:rsidRPr="00282485" w:rsidTr="00147A09">
        <w:trPr>
          <w:trHeight w:val="425"/>
        </w:trPr>
        <w:tc>
          <w:tcPr>
            <w:tcW w:w="4928" w:type="dxa"/>
            <w:shd w:val="clear" w:color="auto" w:fill="auto"/>
          </w:tcPr>
          <w:p w:rsidR="00147A09" w:rsidRPr="00282485" w:rsidRDefault="00147A09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757 752,40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218 194,40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197 876,00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193 582,00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7A09" w:rsidRPr="00282485" w:rsidTr="00147A09">
        <w:trPr>
          <w:trHeight w:val="417"/>
        </w:trPr>
        <w:tc>
          <w:tcPr>
            <w:tcW w:w="4928" w:type="dxa"/>
            <w:shd w:val="clear" w:color="auto" w:fill="auto"/>
          </w:tcPr>
          <w:p w:rsidR="00147A09" w:rsidRPr="00282485" w:rsidRDefault="00147A09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391 959,53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135 674,80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37 737,80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  <w:sz w:val="24"/>
                <w:szCs w:val="24"/>
              </w:rPr>
            </w:pPr>
            <w:r w:rsidRPr="00147A0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528D1" w:rsidRPr="00282485" w:rsidTr="002528D1">
        <w:trPr>
          <w:trHeight w:val="423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8"/>
          <w:foot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энергоэффективности» на 2018-2022 годы до 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</w:t>
      </w:r>
      <w:r w:rsidRPr="00282485">
        <w:rPr>
          <w:sz w:val="24"/>
          <w:szCs w:val="24"/>
        </w:rPr>
        <w:lastRenderedPageBreak/>
        <w:t>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 xml:space="preserve">инженерной инфраструктуры военных городков в надлежащее состояние, улучшить </w:t>
      </w:r>
      <w:r w:rsidR="008A6BFD" w:rsidRPr="00282485">
        <w:rPr>
          <w:sz w:val="24"/>
          <w:szCs w:val="24"/>
        </w:rPr>
        <w:lastRenderedPageBreak/>
        <w:t>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</w:t>
            </w:r>
            <w:r w:rsidR="00261AD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ресурсов</w:t>
      </w:r>
      <w:r w:rsidRPr="00282485">
        <w:rPr>
          <w:sz w:val="24"/>
          <w:szCs w:val="24"/>
        </w:rPr>
        <w:t>-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7"/>
      <w:bookmarkStart w:id="3" w:name="Par218"/>
      <w:bookmarkEnd w:id="2"/>
      <w:bookmarkEnd w:id="3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9"/>
      <w:bookmarkEnd w:id="4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0B100C" w:rsidRPr="00282485" w:rsidTr="000B100C">
        <w:trPr>
          <w:trHeight w:val="399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60 239,60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7 578,00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49 290,90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5 947,00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60 239,60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49 290,90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5 947,00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33 293,40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22 644,70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3E59CD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  <w:r w:rsidR="00E74327">
              <w:rPr>
                <w:color w:val="000000"/>
                <w:sz w:val="18"/>
                <w:szCs w:val="18"/>
              </w:rPr>
              <w:t>-2019г.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E7432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4 642</w:t>
            </w:r>
            <w:r w:rsidR="00BE55C7" w:rsidRPr="00282485">
              <w:rPr>
                <w:sz w:val="18"/>
                <w:szCs w:val="18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682F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5" w:name="P1262"/>
      <w:bookmarkEnd w:id="5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</w:t>
            </w:r>
            <w:r w:rsidRPr="00282485">
              <w:rPr>
                <w:bCs/>
                <w:color w:val="000000"/>
                <w:sz w:val="18"/>
                <w:szCs w:val="18"/>
              </w:rPr>
              <w:lastRenderedPageBreak/>
              <w:t>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Повышение качества очистки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6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147A09" w:rsidRPr="00282485" w:rsidTr="00100F14">
        <w:trPr>
          <w:trHeight w:val="213"/>
        </w:trPr>
        <w:tc>
          <w:tcPr>
            <w:tcW w:w="2093" w:type="dxa"/>
            <w:vMerge/>
          </w:tcPr>
          <w:p w:rsidR="00147A09" w:rsidRPr="00282485" w:rsidRDefault="00147A0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1 106 490,80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310 206,20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349 291,20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231 282,80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215 710,60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0,00  </w:t>
            </w:r>
          </w:p>
        </w:tc>
      </w:tr>
      <w:tr w:rsidR="00147A09" w:rsidRPr="00282485" w:rsidTr="00100F14">
        <w:trPr>
          <w:trHeight w:val="225"/>
        </w:trPr>
        <w:tc>
          <w:tcPr>
            <w:tcW w:w="2093" w:type="dxa"/>
            <w:vMerge/>
          </w:tcPr>
          <w:p w:rsidR="00147A09" w:rsidRPr="00282485" w:rsidRDefault="00147A0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282485" w:rsidRDefault="00147A09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 xml:space="preserve">708 461,50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212 247,40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197 876,00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193 582,00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7A09" w:rsidRPr="00147A09" w:rsidRDefault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147A09" w:rsidRPr="00282485" w:rsidTr="00147A09">
        <w:trPr>
          <w:trHeight w:val="225"/>
        </w:trPr>
        <w:tc>
          <w:tcPr>
            <w:tcW w:w="2093" w:type="dxa"/>
            <w:vMerge/>
          </w:tcPr>
          <w:p w:rsidR="00147A09" w:rsidRPr="00282485" w:rsidRDefault="00147A0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47A09" w:rsidRPr="00282485" w:rsidRDefault="00147A0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282485" w:rsidRDefault="00147A09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370 900,70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132 043,80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33 406,80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A09" w:rsidRPr="00147A09" w:rsidRDefault="00147A09" w:rsidP="00147A09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8A18FE" w:rsidRPr="009A60B9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</w:t>
            </w:r>
            <w:r w:rsidRPr="00282485">
              <w:rPr>
                <w:sz w:val="18"/>
                <w:szCs w:val="18"/>
              </w:rPr>
              <w:lastRenderedPageBreak/>
              <w:t>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6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</w:t>
            </w:r>
            <w:r w:rsidRPr="00282485">
              <w:rPr>
                <w:color w:val="000000"/>
                <w:sz w:val="14"/>
                <w:szCs w:val="14"/>
              </w:rPr>
              <w:lastRenderedPageBreak/>
              <w:t>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</w:t>
            </w:r>
            <w:r w:rsidRPr="00C71D8E">
              <w:rPr>
                <w:color w:val="000000"/>
                <w:sz w:val="16"/>
                <w:szCs w:val="16"/>
              </w:rPr>
              <w:lastRenderedPageBreak/>
              <w:t>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lastRenderedPageBreak/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282485" w:rsidRDefault="00B712B0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93 593,80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81 353,60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57 040,40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24 906,80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12B0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Pr="00282485" w:rsidRDefault="00B712B0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B0" w:rsidRPr="00282485" w:rsidRDefault="00B712B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B0" w:rsidRDefault="00B71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2B0" w:rsidRPr="00C71D8E" w:rsidRDefault="00B712B0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Pr="00282485" w:rsidRDefault="00FB7FA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93 593,80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81 353,60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B7FA9" w:rsidRPr="00C71D8E" w:rsidRDefault="00FB7FA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B7FA9" w:rsidRPr="00C71D8E" w:rsidRDefault="00FB7FA9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FB7FA9" w:rsidRPr="00C71D8E" w:rsidRDefault="00FB7FA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79 169,00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24 906,80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22 128,60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7FA9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A9" w:rsidRPr="00282485" w:rsidRDefault="00FB7FA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A9" w:rsidRPr="00282485" w:rsidRDefault="00FB7FA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6"/>
                <w:szCs w:val="16"/>
              </w:rPr>
            </w:pPr>
            <w:bookmarkStart w:id="7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7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9" w:rsidRDefault="00FB7F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A9" w:rsidRPr="00C71D8E" w:rsidRDefault="00FB7FA9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color w:val="000000"/>
                <w:sz w:val="16"/>
                <w:szCs w:val="16"/>
              </w:rPr>
              <w:t>"Разработка ПСД на строительство газовых котельных для объектов социальной сферы мощностью 2,4 Гкал/час в мкр. Семхоз и мощностью  12 Гкал/час в районе дер. Зубачево"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Восстановление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426D52" w:rsidRPr="00282485" w:rsidRDefault="00426D52" w:rsidP="00B12349">
            <w:pPr>
              <w:jc w:val="center"/>
              <w:rPr>
                <w:sz w:val="18"/>
                <w:szCs w:val="18"/>
              </w:rPr>
            </w:pPr>
          </w:p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802 014,20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223 741,20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313 637,20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682F9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Актуализация схем теплоснабжения, водоснабжения 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E622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BE62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94" w:type="dxa"/>
        <w:tblInd w:w="93" w:type="dxa"/>
        <w:tblLayout w:type="fixed"/>
        <w:tblLook w:val="04A0"/>
      </w:tblPr>
      <w:tblGrid>
        <w:gridCol w:w="405"/>
        <w:gridCol w:w="1996"/>
        <w:gridCol w:w="844"/>
        <w:gridCol w:w="1262"/>
        <w:gridCol w:w="984"/>
        <w:gridCol w:w="1123"/>
        <w:gridCol w:w="1824"/>
        <w:gridCol w:w="955"/>
        <w:gridCol w:w="120"/>
        <w:gridCol w:w="835"/>
        <w:gridCol w:w="120"/>
        <w:gridCol w:w="835"/>
        <w:gridCol w:w="194"/>
        <w:gridCol w:w="761"/>
        <w:gridCol w:w="194"/>
        <w:gridCol w:w="761"/>
        <w:gridCol w:w="194"/>
        <w:gridCol w:w="650"/>
        <w:gridCol w:w="194"/>
        <w:gridCol w:w="790"/>
        <w:gridCol w:w="53"/>
      </w:tblGrid>
      <w:tr w:rsidR="00426D52" w:rsidRPr="008E6097" w:rsidTr="005F1C3E">
        <w:trPr>
          <w:gridAfter w:val="1"/>
          <w:wAfter w:w="53" w:type="dxa"/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Годы строительства/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Профинансировано на 01.01.2018,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Наименование главного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распорядителя средств бюджета Сергиево-Посадского муниципального района</w:t>
            </w:r>
          </w:p>
        </w:tc>
      </w:tr>
      <w:tr w:rsidR="00426D52" w:rsidRPr="008E6097" w:rsidTr="005F1C3E">
        <w:trPr>
          <w:gridAfter w:val="1"/>
          <w:wAfter w:w="53" w:type="dxa"/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5F1C3E">
        <w:trPr>
          <w:gridAfter w:val="1"/>
          <w:wAfter w:w="53" w:type="dxa"/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F1C3E" w:rsidRPr="008E6097" w:rsidTr="007302C0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F1C3E" w:rsidRPr="00D42489" w:rsidRDefault="005F1C3E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5 556,50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BB0221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BB0221" w:rsidRPr="00D42489" w:rsidRDefault="00BB0221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73188A" w:rsidRDefault="00BB022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>Реконструкция объектов инженерной инфраструктуры по ул.Кооперативная, г.Хотьково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235 217,10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69 731,70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84 131,80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81 353,60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BB0221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73188A" w:rsidRDefault="00BB022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50 765,50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BB0221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73188A" w:rsidRDefault="00BB022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66 001,60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24 906,80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BB0221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73188A" w:rsidRDefault="00BB022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21" w:rsidRDefault="00BB0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21" w:rsidRPr="008E6097" w:rsidRDefault="00BB022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248 845,24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118 154,99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71 465,25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213 933,35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86 021,35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68 687,00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34 911,89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32 133,64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F47812">
        <w:tc>
          <w:tcPr>
            <w:tcW w:w="426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с.п. </w:t>
            </w:r>
            <w:r w:rsidRPr="00282485">
              <w:rPr>
                <w:sz w:val="18"/>
                <w:szCs w:val="18"/>
              </w:rPr>
              <w:t xml:space="preserve">Шеметовское, </w:t>
            </w:r>
            <w:r w:rsidRPr="00282485">
              <w:rPr>
                <w:sz w:val="18"/>
                <w:szCs w:val="18"/>
              </w:rPr>
              <w:lastRenderedPageBreak/>
              <w:t>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</w:t>
      </w:r>
      <w:r w:rsidRPr="003F1025">
        <w:rPr>
          <w:b/>
          <w:sz w:val="24"/>
          <w:szCs w:val="24"/>
        </w:rPr>
        <w:t>в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Pr="00282485" w:rsidRDefault="00660D36" w:rsidP="00535C80">
      <w:pPr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</w:t>
            </w:r>
            <w:r w:rsidRPr="00282485">
              <w:rPr>
                <w:sz w:val="18"/>
                <w:szCs w:val="18"/>
              </w:rPr>
              <w:lastRenderedPageBreak/>
              <w:t xml:space="preserve">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</w:t>
            </w:r>
            <w:r w:rsidRPr="00282485">
              <w:rPr>
                <w:sz w:val="18"/>
                <w:szCs w:val="18"/>
              </w:rPr>
              <w:lastRenderedPageBreak/>
              <w:t>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прирост мощности объекта (кв. метр, погонный </w:t>
            </w:r>
            <w:r w:rsidRPr="00282485">
              <w:rPr>
                <w:sz w:val="18"/>
                <w:szCs w:val="18"/>
              </w:rPr>
              <w:lastRenderedPageBreak/>
              <w:t>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28248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главного распорядителя средств бюджета </w:t>
            </w:r>
            <w:r w:rsidRPr="00282485">
              <w:rPr>
                <w:sz w:val="18"/>
                <w:szCs w:val="18"/>
              </w:rPr>
              <w:lastRenderedPageBreak/>
              <w:t>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Pr="00282485">
        <w:rPr>
          <w:b/>
          <w:sz w:val="24"/>
          <w:szCs w:val="24"/>
        </w:rPr>
        <w:lastRenderedPageBreak/>
        <w:t>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теплотрассы от ж.д. №30 до СДК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</w:t>
            </w:r>
            <w:r>
              <w:rPr>
                <w:sz w:val="18"/>
                <w:szCs w:val="18"/>
              </w:rPr>
              <w:lastRenderedPageBreak/>
              <w:t xml:space="preserve">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восстановлению подачи холодного </w:t>
            </w:r>
            <w:r>
              <w:rPr>
                <w:sz w:val="18"/>
                <w:szCs w:val="18"/>
              </w:rPr>
              <w:lastRenderedPageBreak/>
              <w:t>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сетей наружного канализации в д. </w:t>
            </w:r>
            <w:r>
              <w:rPr>
                <w:sz w:val="18"/>
                <w:szCs w:val="18"/>
              </w:rPr>
              <w:lastRenderedPageBreak/>
              <w:t>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F01661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A15D98" w:rsidRPr="00A15D98">
              <w:rPr>
                <w:color w:val="000000"/>
                <w:sz w:val="22"/>
                <w:szCs w:val="22"/>
              </w:rPr>
              <w:t xml:space="preserve">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 xml:space="preserve">Средства бюджета Сергиево-Посадского </w:t>
            </w:r>
            <w:r w:rsidRPr="00282485">
              <w:rPr>
                <w:color w:val="000000"/>
              </w:rPr>
              <w:lastRenderedPageBreak/>
              <w:t>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F01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F0166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470"/>
      <w:bookmarkEnd w:id="8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</w:t>
            </w:r>
            <w:r w:rsidRPr="007D2355">
              <w:rPr>
                <w:bCs/>
              </w:rPr>
              <w:lastRenderedPageBreak/>
              <w:t xml:space="preserve">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49760</w:t>
            </w:r>
            <w:r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</w:t>
            </w:r>
            <w:r w:rsidRPr="007D2355">
              <w:rPr>
                <w:bCs/>
              </w:rPr>
              <w:lastRenderedPageBreak/>
              <w:t xml:space="preserve">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Выполнение мероприятий по ремонту линии электроснабжения п. Березняки </w:t>
            </w:r>
            <w:r w:rsidRPr="007D2355">
              <w:rPr>
                <w:bCs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бюджета Сергиево-Посадского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F01661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5350D" w:rsidRPr="005F5376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F0166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166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bookmarkStart w:id="9" w:name="_GoBack"/>
            <w:bookmarkEnd w:id="9"/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350D" w:rsidRPr="005F5376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84" w:rsidRDefault="00A26784" w:rsidP="004A325B">
      <w:r>
        <w:separator/>
      </w:r>
    </w:p>
  </w:endnote>
  <w:endnote w:type="continuationSeparator" w:id="0">
    <w:p w:rsidR="00A26784" w:rsidRDefault="00A26784" w:rsidP="004A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36" w:rsidRDefault="00660D36">
    <w:pPr>
      <w:pStyle w:val="a9"/>
    </w:pPr>
    <w:r>
      <w:t>Пост. 1</w:t>
    </w:r>
    <w:r w:rsidR="0047107A">
      <w:t>17</w:t>
    </w:r>
    <w:r w:rsidR="00B712B0"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84" w:rsidRDefault="00A26784" w:rsidP="004A325B">
      <w:r>
        <w:separator/>
      </w:r>
    </w:p>
  </w:footnote>
  <w:footnote w:type="continuationSeparator" w:id="0">
    <w:p w:rsidR="00A26784" w:rsidRDefault="00A26784" w:rsidP="004A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36" w:rsidRDefault="00972C8D">
    <w:pPr>
      <w:pStyle w:val="ac"/>
      <w:jc w:val="center"/>
    </w:pPr>
    <w:r>
      <w:rPr>
        <w:noProof/>
      </w:rPr>
      <w:fldChar w:fldCharType="begin"/>
    </w:r>
    <w:r w:rsidR="00660D36">
      <w:rPr>
        <w:noProof/>
      </w:rPr>
      <w:instrText>PAGE   \* MERGEFORMAT</w:instrText>
    </w:r>
    <w:r>
      <w:rPr>
        <w:noProof/>
      </w:rPr>
      <w:fldChar w:fldCharType="separate"/>
    </w:r>
    <w:r w:rsidR="00710D2B">
      <w:rPr>
        <w:noProof/>
      </w:rPr>
      <w:t>54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47A09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2FBA"/>
    <w:rsid w:val="00374180"/>
    <w:rsid w:val="003749FA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1A97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07A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17CD6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0D36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0D2B"/>
    <w:rsid w:val="007115B3"/>
    <w:rsid w:val="00711B1B"/>
    <w:rsid w:val="00713568"/>
    <w:rsid w:val="00714444"/>
    <w:rsid w:val="00714D0A"/>
    <w:rsid w:val="0071542B"/>
    <w:rsid w:val="00716C0E"/>
    <w:rsid w:val="00716D1D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0D74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6C4"/>
    <w:rsid w:val="0097174F"/>
    <w:rsid w:val="00972C8D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2678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324F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0991"/>
    <w:rsid w:val="00B12349"/>
    <w:rsid w:val="00B12943"/>
    <w:rsid w:val="00B12C92"/>
    <w:rsid w:val="00B1616E"/>
    <w:rsid w:val="00B17039"/>
    <w:rsid w:val="00B173BE"/>
    <w:rsid w:val="00B21114"/>
    <w:rsid w:val="00B216F7"/>
    <w:rsid w:val="00B224CF"/>
    <w:rsid w:val="00B22A75"/>
    <w:rsid w:val="00B22FE8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5E"/>
    <w:rsid w:val="00B62AEE"/>
    <w:rsid w:val="00B63F50"/>
    <w:rsid w:val="00B644C0"/>
    <w:rsid w:val="00B66664"/>
    <w:rsid w:val="00B70B83"/>
    <w:rsid w:val="00B712B0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858C7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0221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66960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121C"/>
    <w:rsid w:val="00C9226B"/>
    <w:rsid w:val="00C928A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3EB2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13D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4327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1B68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15923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47812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AF1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B7FA9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522B-177C-4518-BCDD-19E523DD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14581</Words>
  <Characters>83113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Zverdvd.org</cp:lastModifiedBy>
  <cp:revision>2</cp:revision>
  <cp:lastPrinted>2019-07-04T13:13:00Z</cp:lastPrinted>
  <dcterms:created xsi:type="dcterms:W3CDTF">2019-07-16T17:44:00Z</dcterms:created>
  <dcterms:modified xsi:type="dcterms:W3CDTF">2019-07-16T17:44:00Z</dcterms:modified>
</cp:coreProperties>
</file>