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982D3">
      <w:pPr>
        <w:pStyle w:val="9"/>
        <w:tabs>
          <w:tab w:val="left" w:pos="5640"/>
        </w:tabs>
        <w:ind w:left="5670" w:right="22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14:paraId="7E72A6F4">
      <w:pPr>
        <w:pStyle w:val="9"/>
        <w:tabs>
          <w:tab w:val="left" w:pos="5640"/>
        </w:tabs>
        <w:ind w:left="5670" w:right="2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</w:t>
      </w:r>
    </w:p>
    <w:p w14:paraId="2C61EAB5">
      <w:pPr>
        <w:pStyle w:val="9"/>
        <w:tabs>
          <w:tab w:val="left" w:pos="5640"/>
        </w:tabs>
        <w:ind w:left="5670" w:right="2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Сергиево-Посадского</w:t>
      </w:r>
    </w:p>
    <w:p w14:paraId="7F454927">
      <w:pPr>
        <w:pStyle w:val="9"/>
        <w:tabs>
          <w:tab w:val="left" w:pos="5640"/>
        </w:tabs>
        <w:ind w:left="5670" w:right="2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  </w:t>
      </w:r>
    </w:p>
    <w:p w14:paraId="2615E810">
      <w:pPr>
        <w:pStyle w:val="9"/>
        <w:ind w:left="5670" w:right="2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__________№______</w:t>
      </w:r>
    </w:p>
    <w:p w14:paraId="7A73489F">
      <w:pPr>
        <w:pStyle w:val="9"/>
        <w:ind w:right="2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1859A2">
      <w:pPr>
        <w:pStyle w:val="9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14:paraId="1102744A">
      <w:pPr>
        <w:pStyle w:val="9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экспертно-проверочной комиссии управления экономики администрации </w:t>
      </w:r>
    </w:p>
    <w:p w14:paraId="030F8BB3">
      <w:pPr>
        <w:pStyle w:val="9"/>
        <w:ind w:right="22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AABADE9">
      <w:pPr>
        <w:pStyle w:val="6"/>
        <w:rPr>
          <w:rFonts w:ascii="Times New Roman" w:hAnsi="Times New Roman" w:cs="Times New Roman"/>
          <w:sz w:val="24"/>
          <w:szCs w:val="24"/>
        </w:rPr>
      </w:pPr>
    </w:p>
    <w:p w14:paraId="30B604AF">
      <w:pPr>
        <w:pStyle w:val="13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14:paraId="47E94121">
      <w:pPr>
        <w:pStyle w:val="13"/>
      </w:pPr>
    </w:p>
    <w:p w14:paraId="07ADFB78">
      <w:pPr>
        <w:pStyle w:val="13"/>
        <w:ind w:firstLine="709"/>
        <w:jc w:val="both"/>
      </w:pPr>
      <w:r>
        <w:t>1. Экспертная комиссия управления экономики администрации Сергиево-Посадского городского округа Московской области (далее – ЭК) создается в целях организации и проведения практической работы по экспертизе ценности документов, образовавшихся в процессе деятельности управления экономики администрации Сергиево-Посадского городского округа Московской области (далее – Управление).</w:t>
      </w:r>
    </w:p>
    <w:p w14:paraId="371BC6A6">
      <w:pPr>
        <w:pStyle w:val="13"/>
        <w:ind w:firstLine="709"/>
        <w:jc w:val="both"/>
      </w:pPr>
      <w:r>
        <w:t>2. ЭК является совещательным органом при начальнике Управления, создается постановлением администрации Сергиево-Посадского городского округа Московской области (далее – администрация городского округа) и действует на основании настоящего Положения.</w:t>
      </w:r>
    </w:p>
    <w:p w14:paraId="2C0D6880">
      <w:pPr>
        <w:pStyle w:val="13"/>
        <w:ind w:firstLine="709"/>
        <w:jc w:val="both"/>
      </w:pPr>
      <w:r>
        <w:t>3. Персональный состав ЭК определяется постановлением администрации городского округа. В состав ЭК включаются: председатель ЭК, заместитель председателя ЭК, секретарь ЭК, сотрудники Управления.</w:t>
      </w:r>
    </w:p>
    <w:p w14:paraId="437F7FF1">
      <w:pPr>
        <w:pStyle w:val="13"/>
        <w:tabs>
          <w:tab w:val="left" w:pos="709"/>
        </w:tabs>
        <w:ind w:firstLine="709"/>
        <w:jc w:val="both"/>
      </w:pPr>
      <w:r>
        <w:t>4. В своей работе ЭК руководствуется Федеральным законом от 22.10.2004 №125-ФЗ «Об архивном деле в Российской Федерации», Законом Московской области от 25.05.2007 №65/2007-ОЗ «Об архивном деле в Московской области», Правилами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утвержденными приказом Федерального архивного агентства от 31.07.2023 №77,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утвержденных приказом Федерального архивного агентства от 20.12.2019 №236, законами и иными нормативными актами Российской Федерации и Московской области в области архивного дела, муниципальными правовыми актами администрации городского округа.</w:t>
      </w:r>
    </w:p>
    <w:p w14:paraId="540ABECA">
      <w:pPr>
        <w:pStyle w:val="13"/>
        <w:tabs>
          <w:tab w:val="center" w:pos="5032"/>
        </w:tabs>
        <w:ind w:firstLine="709"/>
        <w:jc w:val="both"/>
      </w:pPr>
    </w:p>
    <w:p w14:paraId="5C9B6282">
      <w:pPr>
        <w:pStyle w:val="13"/>
        <w:tabs>
          <w:tab w:val="center" w:pos="5032"/>
        </w:tabs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Основные функции экспертной комиссии</w:t>
      </w:r>
    </w:p>
    <w:p w14:paraId="65B062AD">
      <w:pPr>
        <w:pStyle w:val="13"/>
        <w:tabs>
          <w:tab w:val="center" w:pos="5032"/>
        </w:tabs>
        <w:ind w:firstLine="709"/>
        <w:jc w:val="both"/>
      </w:pPr>
    </w:p>
    <w:p w14:paraId="0520DFD8">
      <w:pPr>
        <w:pStyle w:val="13"/>
        <w:tabs>
          <w:tab w:val="center" w:pos="5032"/>
        </w:tabs>
        <w:ind w:firstLine="709"/>
        <w:jc w:val="both"/>
      </w:pPr>
      <w:r>
        <w:t>5. ЭК осуществляет следующие функции:</w:t>
      </w:r>
    </w:p>
    <w:p w14:paraId="75FAC83C">
      <w:pPr>
        <w:pStyle w:val="13"/>
        <w:tabs>
          <w:tab w:val="center" w:pos="5032"/>
        </w:tabs>
        <w:ind w:firstLine="709"/>
        <w:jc w:val="both"/>
      </w:pPr>
      <w:r>
        <w:t>1) организация и проведение ежегодного отбора дел, образующихся в процессе деятельности Управления для хранения и уничтожения;</w:t>
      </w:r>
    </w:p>
    <w:p w14:paraId="688A8FFE">
      <w:pPr>
        <w:pStyle w:val="13"/>
        <w:tabs>
          <w:tab w:val="center" w:pos="5032"/>
        </w:tabs>
        <w:ind w:firstLine="709"/>
        <w:jc w:val="both"/>
      </w:pPr>
      <w:r>
        <w:t>2) рассмотрение, принятие решений о согласовании с государственным бюджетным учреждением Московской области «Центральный государственный архив Московской области» (далее – ГБУ Московской области «ЦГАМО»):</w:t>
      </w:r>
    </w:p>
    <w:p w14:paraId="0C2B3228">
      <w:pPr>
        <w:pStyle w:val="13"/>
        <w:tabs>
          <w:tab w:val="center" w:pos="5032"/>
        </w:tabs>
        <w:ind w:firstLine="709"/>
        <w:jc w:val="both"/>
      </w:pPr>
      <w:r>
        <w:t>а) описей дел постоянного хранения управленческой и иных видов документации Управления;</w:t>
      </w:r>
    </w:p>
    <w:p w14:paraId="1B7E758D">
      <w:pPr>
        <w:pStyle w:val="13"/>
        <w:tabs>
          <w:tab w:val="center" w:pos="5032"/>
        </w:tabs>
        <w:ind w:firstLine="709"/>
        <w:jc w:val="both"/>
      </w:pPr>
      <w:r>
        <w:t>б) описей дел временных (свыше 10 лет) сроков хранения Управления;</w:t>
      </w:r>
    </w:p>
    <w:p w14:paraId="28E77B50">
      <w:pPr>
        <w:pStyle w:val="13"/>
        <w:tabs>
          <w:tab w:val="center" w:pos="5032"/>
        </w:tabs>
        <w:ind w:firstLine="709"/>
        <w:jc w:val="both"/>
      </w:pPr>
      <w:r>
        <w:t>в) номенклатуры дел;</w:t>
      </w:r>
    </w:p>
    <w:p w14:paraId="42AC9BA0">
      <w:pPr>
        <w:pStyle w:val="13"/>
        <w:tabs>
          <w:tab w:val="center" w:pos="5032"/>
        </w:tabs>
        <w:ind w:firstLine="709"/>
        <w:jc w:val="both"/>
      </w:pPr>
      <w:r>
        <w:t>г) актов о выделении к уничтожению документов, не подлежащих хранению Управления;</w:t>
      </w:r>
    </w:p>
    <w:p w14:paraId="28CEC3D5">
      <w:pPr>
        <w:pStyle w:val="13"/>
        <w:tabs>
          <w:tab w:val="center" w:pos="5032"/>
        </w:tabs>
        <w:ind w:firstLine="709"/>
        <w:jc w:val="both"/>
      </w:pPr>
      <w:r>
        <w:t>д) актов о необнаружении архивных документов, пути розыска которых исчерпаны;</w:t>
      </w:r>
    </w:p>
    <w:p w14:paraId="4D3CAB79">
      <w:pPr>
        <w:pStyle w:val="13"/>
        <w:tabs>
          <w:tab w:val="center" w:pos="5032"/>
        </w:tabs>
        <w:ind w:firstLine="709"/>
        <w:jc w:val="both"/>
      </w:pPr>
      <w:r>
        <w:t>е) актов о неисправимых повреждениях архивных документов Управления;</w:t>
      </w:r>
    </w:p>
    <w:p w14:paraId="47D3470A">
      <w:pPr>
        <w:pStyle w:val="13"/>
        <w:tabs>
          <w:tab w:val="center" w:pos="5032"/>
        </w:tabs>
        <w:ind w:firstLine="709"/>
        <w:jc w:val="both"/>
      </w:pPr>
      <w:r>
        <w:t>ж) предложений об установлении (изменении) сроков хранения документов, не предусмотренных Перечнем типовых архивных документов, образующихся в процессе деятельности Управления, с указанием сроков хранения и иными действующими отраслевыми перечнями, с последующим представлением их на согласование экспертно-проверочной комиссии Министерства государственного управления, информационных технологий и связи Московской области  (далее – ЭПК);</w:t>
      </w:r>
    </w:p>
    <w:p w14:paraId="07B9D82D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обеспечивает представление на утверждение ЭПК согласованных ЭК описей дел постоянного хранения управленческой и иных видов документации Управления; перечней проектов, проблем (тем), подлежащей передаче на постоянное хранение, номенклатуры дел Управления, актов о выделении к уничтожению дел, не подлежащих хранению, актов о необнаружении архивных документов, пути розыска которых исчерпаны, актов о неисправимых повреждениях архивных документов Управления.</w:t>
      </w:r>
    </w:p>
    <w:p w14:paraId="69078651">
      <w:pPr>
        <w:pStyle w:val="13"/>
        <w:tabs>
          <w:tab w:val="center" w:pos="5032"/>
        </w:tabs>
        <w:jc w:val="center"/>
      </w:pPr>
    </w:p>
    <w:p w14:paraId="5D38AF00">
      <w:pPr>
        <w:pStyle w:val="13"/>
        <w:tabs>
          <w:tab w:val="center" w:pos="5032"/>
        </w:tabs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Права экспертной комиссии</w:t>
      </w:r>
    </w:p>
    <w:p w14:paraId="70F22E35">
      <w:pPr>
        <w:pStyle w:val="13"/>
        <w:tabs>
          <w:tab w:val="center" w:pos="5032"/>
        </w:tabs>
        <w:jc w:val="center"/>
      </w:pPr>
    </w:p>
    <w:p w14:paraId="2C8A80C4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ЭК имеет право:</w:t>
      </w:r>
    </w:p>
    <w:p w14:paraId="619236AB">
      <w:pPr>
        <w:ind w:firstLine="709"/>
        <w:jc w:val="both"/>
      </w:pPr>
      <w:r>
        <w:t xml:space="preserve">1) давать рекомендации сотрудникам Управления по вопросам разработки номенклатуры дел и формирования дел в архиве Управления, экспертизы ценности документов, розыска недостающих документов и дел постоянного хранения, упорядочения и оформления документов для передачи в архив Управления; </w:t>
      </w:r>
    </w:p>
    <w:p w14:paraId="5AA01504">
      <w:pPr>
        <w:ind w:firstLine="709"/>
        <w:jc w:val="both"/>
      </w:pPr>
      <w:r>
        <w:t>2) запрашивать от сотрудников Управления письменные объяснения о причинах утраты, порчи или несанкционированного уничтожения документов постоянного и временного (свыше 10 лет) сроков хранения;</w:t>
      </w:r>
    </w:p>
    <w:p w14:paraId="0349AC58">
      <w:pPr>
        <w:ind w:firstLine="709"/>
        <w:jc w:val="both"/>
      </w:pPr>
      <w:r>
        <w:t>3) информировать сотрудников Управления по вопросам, относящимся к компетенции ЭК.</w:t>
      </w:r>
    </w:p>
    <w:p w14:paraId="0B08902C">
      <w:pPr>
        <w:pStyle w:val="13"/>
        <w:tabs>
          <w:tab w:val="center" w:pos="5032"/>
        </w:tabs>
        <w:ind w:firstLine="709"/>
        <w:jc w:val="both"/>
      </w:pPr>
    </w:p>
    <w:p w14:paraId="32F39274">
      <w:pPr>
        <w:pStyle w:val="13"/>
        <w:tabs>
          <w:tab w:val="center" w:pos="5032"/>
        </w:tabs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Порядок формирования экспертной комиссии и ее структура</w:t>
      </w:r>
    </w:p>
    <w:p w14:paraId="43BEBE85">
      <w:pPr>
        <w:pStyle w:val="13"/>
        <w:tabs>
          <w:tab w:val="center" w:pos="5032"/>
        </w:tabs>
        <w:ind w:firstLine="709"/>
        <w:jc w:val="both"/>
      </w:pPr>
    </w:p>
    <w:p w14:paraId="26BB38D2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Персональный состав ЭК утверждается постановлением администрации городского округа.</w:t>
      </w:r>
    </w:p>
    <w:p w14:paraId="1E6BA7F2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ЭК включаются: председатель ЭК, заместитель председателя ЭК, секретарь ЭК, сотрудники Управления и по согласованию представитель ГБУ Московской области «ЦГАМО». </w:t>
      </w:r>
    </w:p>
    <w:p w14:paraId="03F0E40F">
      <w:pPr>
        <w:pStyle w:val="1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Председателем ЭК назначается начальник Управления.</w:t>
      </w:r>
    </w:p>
    <w:p w14:paraId="767F1C3D">
      <w:pPr>
        <w:ind w:firstLine="709"/>
        <w:jc w:val="both"/>
      </w:pPr>
      <w:r>
        <w:t>8. Председатель ЭК:</w:t>
      </w:r>
    </w:p>
    <w:p w14:paraId="018EBD57">
      <w:pPr>
        <w:ind w:firstLine="709"/>
        <w:jc w:val="both"/>
      </w:pPr>
      <w:r>
        <w:t>а) осуществляет общее руководство деятельностью ЭК и несет персональную ответственность за выполнение возложенных на ЭК задач;</w:t>
      </w:r>
    </w:p>
    <w:p w14:paraId="4923E608">
      <w:pPr>
        <w:ind w:firstLine="709"/>
        <w:jc w:val="both"/>
      </w:pPr>
      <w:r>
        <w:t>б) утверждает план работы ЭК и обеспечивает его реализацию;</w:t>
      </w:r>
    </w:p>
    <w:p w14:paraId="7266A494">
      <w:pPr>
        <w:ind w:firstLine="709"/>
        <w:jc w:val="both"/>
      </w:pPr>
      <w:r>
        <w:t>в) определяет место и время проведения заседаний ЭК, а также утверждает повестку дня;</w:t>
      </w:r>
    </w:p>
    <w:p w14:paraId="60E6C32C">
      <w:pPr>
        <w:ind w:firstLine="709"/>
        <w:jc w:val="both"/>
      </w:pPr>
      <w:r>
        <w:t>г) подписывает протоколы.</w:t>
      </w:r>
    </w:p>
    <w:p w14:paraId="74FA0E14">
      <w:pPr>
        <w:ind w:firstLine="709"/>
        <w:jc w:val="both"/>
      </w:pPr>
      <w:r>
        <w:t>9. Заместитель председателя ЭК исполняет обязанности председателя ЭК в период его временного отсутствия.</w:t>
      </w:r>
    </w:p>
    <w:p w14:paraId="14659603">
      <w:pPr>
        <w:ind w:firstLine="709"/>
        <w:jc w:val="both"/>
      </w:pPr>
      <w:r>
        <w:t xml:space="preserve">10. Секретарь ЭК:                                                       </w:t>
      </w:r>
    </w:p>
    <w:p w14:paraId="2AE53336">
      <w:pPr>
        <w:ind w:firstLine="709"/>
        <w:jc w:val="both"/>
      </w:pPr>
      <w:r>
        <w:t xml:space="preserve">а) организует подготовку материалов к заседаниям ЭК;   </w:t>
      </w:r>
    </w:p>
    <w:p w14:paraId="53B401FD">
      <w:pPr>
        <w:ind w:firstLine="709"/>
        <w:jc w:val="both"/>
      </w:pPr>
      <w:r>
        <w:t>б) информирует членов ЭК о месте и времени проведения очередного заседания, обеспечивает их необходимыми справочно-информационными материалами;</w:t>
      </w:r>
    </w:p>
    <w:p w14:paraId="57BC0D68">
      <w:pPr>
        <w:ind w:firstLine="709"/>
        <w:jc w:val="both"/>
      </w:pPr>
      <w:r>
        <w:t xml:space="preserve">в) регистрирует и осуществляет подготовку поступившей документации </w:t>
      </w:r>
      <w:r>
        <w:br w:type="textWrapping"/>
      </w:r>
      <w:r>
        <w:t>для рассмотрения на заседании ЭК;</w:t>
      </w:r>
    </w:p>
    <w:p w14:paraId="179C18BA">
      <w:pPr>
        <w:ind w:firstLine="709"/>
        <w:jc w:val="both"/>
      </w:pPr>
      <w:r>
        <w:t xml:space="preserve">г) обрабатывает поступившую документацию на предмет соответствия предъявляемым требованиям к составу документации; </w:t>
      </w:r>
    </w:p>
    <w:p w14:paraId="70F2928E">
      <w:pPr>
        <w:ind w:firstLine="709"/>
        <w:jc w:val="both"/>
      </w:pPr>
      <w:r>
        <w:t>д) изучает содержательную часть документации;</w:t>
      </w:r>
    </w:p>
    <w:p w14:paraId="1052034E">
      <w:pPr>
        <w:ind w:firstLine="709"/>
        <w:jc w:val="both"/>
      </w:pPr>
      <w:r>
        <w:t>е) обеспечивает ознакомление с материалами председателя ЭК, заместителя ЭК, членов ЭК и приглашенных представителей ГБУ Московской области «ЦГАМО»;</w:t>
      </w:r>
    </w:p>
    <w:p w14:paraId="75270743">
      <w:pPr>
        <w:ind w:firstLine="709"/>
        <w:jc w:val="both"/>
      </w:pPr>
      <w:r>
        <w:t>ё) оформляет протоколы заседаний ЭК и подписывает их.</w:t>
      </w:r>
    </w:p>
    <w:p w14:paraId="46799E60">
      <w:pPr>
        <w:ind w:firstLine="709"/>
        <w:jc w:val="both"/>
      </w:pPr>
      <w:r>
        <w:t>11. Члены ЭК:</w:t>
      </w:r>
    </w:p>
    <w:p w14:paraId="41EB66D8">
      <w:pPr>
        <w:ind w:firstLine="709"/>
        <w:jc w:val="both"/>
      </w:pPr>
      <w:r>
        <w:t>а) участвуют в заседаниях ЭК и в принятии решений;</w:t>
      </w:r>
    </w:p>
    <w:p w14:paraId="008AB020">
      <w:pPr>
        <w:ind w:firstLine="709"/>
        <w:jc w:val="both"/>
      </w:pPr>
      <w:r>
        <w:t>б) вносят предложения по вопросам, включенным в повестку дня заседания ЭК.</w:t>
      </w:r>
    </w:p>
    <w:p w14:paraId="785B7607">
      <w:pPr>
        <w:ind w:firstLine="709"/>
        <w:jc w:val="both"/>
      </w:pPr>
      <w:r>
        <w:t xml:space="preserve">В случае невозможности присутствия члена ЭК на заседании ЭК, он информирует председателя ЭК не менее чем за 3 рабочих дня до даты заседания ЭК. Отсутствующий член ЭК в праве изложить свое мнение по вопросу подлежащего рассмотрению на заседании ЭК в письменной форме, которое оглашается на заседании и приобщается </w:t>
      </w:r>
      <w:r>
        <w:br w:type="textWrapping"/>
      </w:r>
      <w:r>
        <w:t>к протоколу.</w:t>
      </w:r>
    </w:p>
    <w:p w14:paraId="0F1D3964">
      <w:pPr>
        <w:pStyle w:val="13"/>
        <w:tabs>
          <w:tab w:val="center" w:pos="5032"/>
        </w:tabs>
        <w:jc w:val="center"/>
      </w:pPr>
    </w:p>
    <w:p w14:paraId="113E1A84">
      <w:pPr>
        <w:pStyle w:val="13"/>
        <w:tabs>
          <w:tab w:val="center" w:pos="5032"/>
        </w:tabs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Организация работы экспертной комиссии</w:t>
      </w:r>
    </w:p>
    <w:p w14:paraId="24765148">
      <w:pPr>
        <w:pStyle w:val="13"/>
        <w:tabs>
          <w:tab w:val="center" w:pos="5032"/>
        </w:tabs>
        <w:ind w:firstLine="709"/>
        <w:jc w:val="both"/>
      </w:pPr>
    </w:p>
    <w:p w14:paraId="2F62E6A2">
      <w:pPr>
        <w:tabs>
          <w:tab w:val="left" w:pos="1134"/>
        </w:tabs>
        <w:ind w:firstLine="709"/>
        <w:jc w:val="both"/>
      </w:pPr>
      <w:r>
        <w:t xml:space="preserve">12. ЭК взаимодействует с ЭПК, а также с ГБУ Московской области «ЦГАМО». </w:t>
      </w:r>
    </w:p>
    <w:p w14:paraId="2209049D">
      <w:pPr>
        <w:tabs>
          <w:tab w:val="left" w:pos="1134"/>
        </w:tabs>
        <w:ind w:firstLine="709"/>
        <w:jc w:val="both"/>
      </w:pPr>
      <w:r>
        <w:t xml:space="preserve">13. Вопросы, относящиеся к компетенции ЭК, рассматриваются на ее заседаниях, которые проводятся по мере необходимости, </w:t>
      </w:r>
      <w:r>
        <w:rPr>
          <w:color w:val="000000"/>
        </w:rPr>
        <w:t xml:space="preserve">но не реже одного раза год. О дате, времени и месте проведения члены ЭК и приглашаемый на заседание представитель </w:t>
      </w:r>
      <w:r>
        <w:t xml:space="preserve">ГБУ Московской области «ЦГАМО» </w:t>
      </w:r>
      <w:r>
        <w:rPr>
          <w:color w:val="000000"/>
        </w:rPr>
        <w:t xml:space="preserve">информируются не менее чем за 3 рабочих дня в письменном виде </w:t>
      </w:r>
      <w:r>
        <w:t xml:space="preserve">нарочно или путем направления на электронную почту соответствующего лица. </w:t>
      </w:r>
    </w:p>
    <w:p w14:paraId="1E538F31">
      <w:pPr>
        <w:tabs>
          <w:tab w:val="left" w:pos="1134"/>
        </w:tabs>
        <w:ind w:firstLine="709"/>
        <w:jc w:val="both"/>
      </w:pPr>
      <w:r>
        <w:t>Все заседания ЭК протоколируются.</w:t>
      </w:r>
    </w:p>
    <w:p w14:paraId="31E1F41F">
      <w:pPr>
        <w:tabs>
          <w:tab w:val="left" w:pos="1134"/>
        </w:tabs>
        <w:ind w:firstLine="709"/>
        <w:jc w:val="both"/>
      </w:pPr>
      <w:r>
        <w:t>14. Заседание ЭК и принятые решения считаются правомочными, если на заседании присутствует более половины ее состава.</w:t>
      </w:r>
    </w:p>
    <w:p w14:paraId="1C9CEB71">
      <w:pPr>
        <w:tabs>
          <w:tab w:val="left" w:pos="1134"/>
        </w:tabs>
        <w:ind w:firstLine="709"/>
        <w:jc w:val="both"/>
      </w:pPr>
      <w:r>
        <w:t xml:space="preserve">15. Решения ЭК принимаются по каждому вопросу (документу) отдельно большинством голосов присутствующих на заседании членов ЭК. При равенстве голосов решающим является голос председательствующего на заседании ЭК. </w:t>
      </w:r>
    </w:p>
    <w:p w14:paraId="3B96C252">
      <w:pPr>
        <w:tabs>
          <w:tab w:val="left" w:pos="1134"/>
        </w:tabs>
        <w:ind w:firstLine="709"/>
        <w:jc w:val="both"/>
      </w:pPr>
      <w:r>
        <w:t xml:space="preserve">16. Ведение делопроизводства ЭК возлагается на секретаря ЭК. </w:t>
      </w:r>
    </w:p>
    <w:p w14:paraId="187FF428">
      <w:pPr>
        <w:pStyle w:val="9"/>
        <w:tabs>
          <w:tab w:val="left" w:pos="5640"/>
        </w:tabs>
        <w:ind w:right="22"/>
        <w:rPr>
          <w:rFonts w:ascii="Times New Roman" w:hAnsi="Times New Roman" w:cs="Times New Roman"/>
          <w:b w:val="0"/>
          <w:sz w:val="24"/>
          <w:szCs w:val="24"/>
        </w:rPr>
      </w:pPr>
    </w:p>
    <w:p w14:paraId="3C7A92D7">
      <w:pPr>
        <w:pStyle w:val="9"/>
        <w:tabs>
          <w:tab w:val="left" w:pos="5640"/>
        </w:tabs>
        <w:ind w:right="22"/>
        <w:rPr>
          <w:rFonts w:ascii="Times New Roman" w:hAnsi="Times New Roman" w:cs="Times New Roman"/>
          <w:b w:val="0"/>
          <w:sz w:val="24"/>
          <w:szCs w:val="24"/>
        </w:rPr>
      </w:pPr>
    </w:p>
    <w:p w14:paraId="4F81F66D">
      <w:pPr>
        <w:pStyle w:val="9"/>
        <w:tabs>
          <w:tab w:val="left" w:pos="5640"/>
        </w:tabs>
        <w:ind w:right="22"/>
        <w:rPr>
          <w:rFonts w:ascii="Times New Roman" w:hAnsi="Times New Roman" w:cs="Times New Roman"/>
          <w:b w:val="0"/>
          <w:sz w:val="24"/>
          <w:szCs w:val="24"/>
        </w:rPr>
      </w:pPr>
    </w:p>
    <w:p w14:paraId="14712C75">
      <w:pPr>
        <w:pStyle w:val="9"/>
        <w:tabs>
          <w:tab w:val="left" w:pos="5640"/>
        </w:tabs>
        <w:ind w:right="22"/>
        <w:rPr>
          <w:rFonts w:ascii="Times New Roman" w:hAnsi="Times New Roman" w:cs="Times New Roman"/>
          <w:b w:val="0"/>
          <w:sz w:val="24"/>
          <w:szCs w:val="24"/>
        </w:rPr>
      </w:pPr>
    </w:p>
    <w:p w14:paraId="10BCBA88"/>
    <w:p w14:paraId="35DD7BF0"/>
    <w:sectPr>
      <w:headerReference r:id="rId5" w:type="default"/>
      <w:footerReference r:id="rId7" w:type="default"/>
      <w:headerReference r:id="rId6" w:type="even"/>
      <w:footerReference r:id="rId8" w:type="even"/>
      <w:pgSz w:w="11907" w:h="16840"/>
      <w:pgMar w:top="1134" w:right="567" w:bottom="1134" w:left="1701" w:header="510" w:footer="301" w:gutter="0"/>
      <w:cols w:space="720" w:num="1"/>
      <w:titlePg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838C4"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4D23A">
    <w:pPr>
      <w:pStyle w:val="8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 w14:paraId="4D550DA2">
    <w:pPr>
      <w:pStyle w:val="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A40DF">
    <w:pPr>
      <w:pStyle w:val="7"/>
      <w:framePr w:wrap="around" w:vAnchor="text" w:hAnchor="margin" w:xAlign="right" w:y="1"/>
      <w:rPr>
        <w:rStyle w:val="4"/>
      </w:rPr>
    </w:pPr>
  </w:p>
  <w:p w14:paraId="172F766A">
    <w:pPr>
      <w:pStyle w:val="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16B03">
    <w:pPr>
      <w:pStyle w:val="7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 w14:paraId="5337B8DB">
    <w:pPr>
      <w:pStyle w:val="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C3"/>
    <w:rsid w:val="00083E6B"/>
    <w:rsid w:val="002B5750"/>
    <w:rsid w:val="004A7418"/>
    <w:rsid w:val="007F40B7"/>
    <w:rsid w:val="008F4380"/>
    <w:rsid w:val="00902034"/>
    <w:rsid w:val="009F16F6"/>
    <w:rsid w:val="00A64CE1"/>
    <w:rsid w:val="00B426AF"/>
    <w:rsid w:val="00E53872"/>
    <w:rsid w:val="00F009C3"/>
    <w:rsid w:val="301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Plain Text"/>
    <w:basedOn w:val="1"/>
    <w:link w:val="12"/>
    <w:qFormat/>
    <w:uiPriority w:val="0"/>
    <w:rPr>
      <w:rFonts w:ascii="Courier New" w:hAnsi="Courier New" w:cs="Courier New"/>
      <w:sz w:val="20"/>
      <w:szCs w:val="20"/>
    </w:rPr>
  </w:style>
  <w:style w:type="paragraph" w:styleId="7">
    <w:name w:val="header"/>
    <w:basedOn w:val="1"/>
    <w:link w:val="11"/>
    <w:qFormat/>
    <w:uiPriority w:val="0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0"/>
    <w:qFormat/>
    <w:uiPriority w:val="99"/>
    <w:pPr>
      <w:tabs>
        <w:tab w:val="center" w:pos="4677"/>
        <w:tab w:val="right" w:pos="9355"/>
      </w:tabs>
    </w:pPr>
  </w:style>
  <w:style w:type="paragraph" w:customStyle="1" w:styleId="9">
    <w:name w:val="ConsPlusTitle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10">
    <w:name w:val="Нижний колонтитул Знак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"/>
    <w:basedOn w:val="2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Текст Знак"/>
    <w:basedOn w:val="2"/>
    <w:link w:val="6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886</Words>
  <Characters>6334</Characters>
  <Lines>51</Lines>
  <Paragraphs>14</Paragraphs>
  <TotalTime>18</TotalTime>
  <ScaleCrop>false</ScaleCrop>
  <LinksUpToDate>false</LinksUpToDate>
  <CharactersWithSpaces>7233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2026-04-02T05:59:00Z</dcterms:created>
  <dc:creator>Разумовская</dc:creator>
  <cp:lastModifiedBy>Пользователь</cp:lastModifiedBy>
  <cp:lastPrinted>2026-05-13T08:53:00Z</cp:lastPrinted>
  <dcterms:modified xsi:type="dcterms:W3CDTF">2026-06-03T07:52:24Z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E16CB3466AA54393B50E5406E917006C_13</vt:lpwstr>
  </property>
</Properties>
</file>